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11" w:righ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r>
    </w:p>
    <w:p w:rsidR="00000000" w:rsidDel="00000000" w:rsidP="00000000" w:rsidRDefault="00000000" w:rsidRPr="00000000" w14:paraId="00000002">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4">
      <w:pPr>
        <w:spacing w:after="0" w:before="4"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5">
      <w:pPr>
        <w:jc w:val="right"/>
        <w:rPr>
          <w:rFonts w:ascii="Arial" w:cs="Arial" w:eastAsia="Arial" w:hAnsi="Arial"/>
          <w:b w:val="1"/>
          <w:color w:val="937749"/>
          <w:sz w:val="28"/>
          <w:szCs w:val="28"/>
        </w:rPr>
      </w:pPr>
      <w:r w:rsidDel="00000000" w:rsidR="00000000" w:rsidRPr="00000000">
        <w:rPr>
          <w:rFonts w:ascii="Arial" w:cs="Arial" w:eastAsia="Arial" w:hAnsi="Arial"/>
          <w:b w:val="1"/>
          <w:color w:val="937749"/>
          <w:sz w:val="28"/>
          <w:szCs w:val="28"/>
          <w:rtl w:val="0"/>
        </w:rPr>
        <w:t xml:space="preserve">Il progetto di restauro della Casa della Gemma e la ricchezza dei mosaici pavimentali</w:t>
      </w:r>
    </w:p>
    <w:p w:rsidR="00000000" w:rsidDel="00000000" w:rsidP="00000000" w:rsidRDefault="00000000" w:rsidRPr="00000000" w14:paraId="00000006">
      <w:pPr>
        <w:jc w:val="right"/>
        <w:rPr>
          <w:rFonts w:ascii="Arial" w:cs="Arial" w:eastAsia="Arial" w:hAnsi="Arial"/>
          <w:b w:val="1"/>
          <w:color w:val="937749"/>
          <w:sz w:val="28"/>
          <w:szCs w:val="28"/>
        </w:rPr>
      </w:pPr>
      <w:r w:rsidDel="00000000" w:rsidR="00000000" w:rsidRPr="00000000">
        <w:rPr>
          <w:rtl w:val="0"/>
        </w:rPr>
      </w:r>
    </w:p>
    <w:p w:rsidR="00000000" w:rsidDel="00000000" w:rsidP="00000000" w:rsidRDefault="00000000" w:rsidRPr="00000000" w14:paraId="00000007">
      <w:pPr>
        <w:widowControl w:val="1"/>
        <w:spacing w:line="276" w:lineRule="auto"/>
        <w:jc w:val="both"/>
        <w:rPr/>
      </w:pPr>
      <w:r w:rsidDel="00000000" w:rsidR="00000000" w:rsidRPr="00000000">
        <w:rPr>
          <w:rFonts w:ascii="Arial" w:cs="Arial" w:eastAsia="Arial" w:hAnsi="Arial"/>
          <w:color w:val="000000"/>
          <w:sz w:val="24"/>
          <w:szCs w:val="24"/>
          <w:rtl w:val="0"/>
        </w:rPr>
        <w:t xml:space="preserve">Il progetto di restauro della Casa della Gemma ha incluso lavori conservativi anche delle </w:t>
      </w:r>
      <w:r w:rsidDel="00000000" w:rsidR="00000000" w:rsidRPr="00000000">
        <w:rPr>
          <w:rFonts w:ascii="Arial" w:cs="Arial" w:eastAsia="Arial" w:hAnsi="Arial"/>
          <w:sz w:val="24"/>
          <w:szCs w:val="24"/>
          <w:rtl w:val="0"/>
        </w:rPr>
        <w:t xml:space="preserve">Case di Pilus Granianus, del Rilievo di Telefo e della Casa dei Cervi.</w:t>
      </w:r>
      <w:r w:rsidDel="00000000" w:rsidR="00000000" w:rsidRPr="00000000">
        <w:rPr>
          <w:rtl w:val="0"/>
        </w:rPr>
      </w:r>
    </w:p>
    <w:p w:rsidR="00000000" w:rsidDel="00000000" w:rsidP="00000000" w:rsidRDefault="00000000" w:rsidRPr="00000000" w14:paraId="00000008">
      <w:pPr>
        <w:widowControl w:val="1"/>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L’intervento sulle pavimentazioni si è reso necessario soprattutto per il contrasto del degrado attivo causato dagli agenti atmosferici e da fattori ambientali (esposizione al vento, alle piogge, ai raggi solari e ai cicli di gelo/disgelo, risalita capillare delle acque) che hanno richiesto un restauro più profondo prima di potere rientrare nel ciclo di manutenzione programmata che è già attivo a scala urbana. I mosaici sono stati oggetto di accurate puliture e trattamenti di disinfezione, che hanno permesso il recupero del tessellato, precedentemente occultato da consistenti patine biotiche. Di grande effetto è oggi, soprattutto, il risultato della puntuale ricostruzione di alcune porzioni della pavimentazione del triclinio della Casa della Gemma la cui preziosa decorazione centrale, suddivisa in 21 riquadri geometrici, era letteralmente esplosa.</w:t>
      </w:r>
    </w:p>
    <w:p w:rsidR="00000000" w:rsidDel="00000000" w:rsidP="00000000" w:rsidRDefault="00000000" w:rsidRPr="00000000" w14:paraId="00000009">
      <w:pPr>
        <w:widowControl w:val="1"/>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conferma di quanto il restauro sia anche e soprattutto conoscenza, vogliamo ricordare il riconoscimento di tracce di disegni preparatori degli schemi geometrici delle grandi superfici (sinopie) incisi dagli antichi artigiani che li realizzarono.</w:t>
      </w:r>
    </w:p>
    <w:p w:rsidR="00000000" w:rsidDel="00000000" w:rsidP="00000000" w:rsidRDefault="00000000" w:rsidRPr="00000000" w14:paraId="0000000A">
      <w:pPr>
        <w:widowControl w:val="1"/>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mosaici, in caso di mancanza della malta, o se parzialmente non aderenti al supporto, possono subire distacchi di tessere singole o di piccoli frammenti; anche la presenza di agenti biologici e la crescita di piante superiori possono favorire distacchi del tessellato e spesso accelerano il degrado degli interventi attuati in precedenti restauri. </w:t>
      </w:r>
    </w:p>
    <w:p w:rsidR="00000000" w:rsidDel="00000000" w:rsidP="00000000" w:rsidRDefault="00000000" w:rsidRPr="00000000" w14:paraId="0000000B">
      <w:pPr>
        <w:widowControl w:val="1"/>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squadra di restauratori ha eseguito tutte le operazioni necessarie per ripristinare l’adesione delle tessere, eliminando i distacchi macroscopici e intervenendo a tappeto per riempire i vuoti sia superficiali, sia profondi, con l’utilizzo di idonee malte idrauliche a iniezione, nonché per ricostituire la coesione delle tessere, il cui strato più superficiale risultava compromesso.</w:t>
      </w:r>
    </w:p>
    <w:p w:rsidR="00000000" w:rsidDel="00000000" w:rsidP="00000000" w:rsidRDefault="00000000" w:rsidRPr="00000000" w14:paraId="0000000C">
      <w:pPr>
        <w:widowControl w:val="1"/>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L’operazione più rilevante svolta in questo cantiere di restauro è stata il riposizionamento in sede di una molteplicità di tessere che giacevano negli ambienti di appartenenza in attesa di un filologico lavoro di ripristino. In questo modo è stato possibile ricucire porzioni di pavimentazione di grandi dimensioni, restituendo uniformità di lettura agli ambienti e recuperare, come nel triclinio della casa della Gemma, la preziosa decorazione centrale, suddivisa in 21 riquadri geometrici. Altro elemento di grande pregio, recuperato durante questo intervento di restauro, è un pavimento con decorazioni in II Stile, in calcari colorati, tra i più antichi del sito, conservato nella Casa di Pilus Granianus.</w:t>
      </w:r>
    </w:p>
    <w:p w:rsidR="00000000" w:rsidDel="00000000" w:rsidP="00000000" w:rsidRDefault="00000000" w:rsidRPr="00000000" w14:paraId="0000000D">
      <w:pPr>
        <w:widowControl w:val="1"/>
        <w:spacing w:line="276" w:lineRule="auto"/>
        <w:jc w:val="both"/>
        <w:rPr/>
      </w:pPr>
      <w:r w:rsidDel="00000000" w:rsidR="00000000" w:rsidRPr="00000000">
        <w:rPr>
          <w:rFonts w:ascii="Arial" w:cs="Arial" w:eastAsia="Arial" w:hAnsi="Arial"/>
          <w:sz w:val="24"/>
          <w:szCs w:val="24"/>
          <w:rtl w:val="0"/>
        </w:rPr>
        <w:t xml:space="preserve">L’atrio della casa della Gemma è stato oggetto anche di un piccolo saggio archeologico nell’impluvium, rinvenuto nel 1934, durante lo scavo della domus sotto la direzione di Amedeo Maiuri, in cui venne recuperata tutta la zona dell’atrio, danneggiata da cunicoli borbonici che la percorrevano a diverse altezze. La stessa vasca dell’impluvio conservava solo in un angolo il rivestimento marmoreo, mentre il resto era già stato asportato negli scavi settecenteschi. Il saggio ha consentito di fissare l’arco temporale e le diverse fasi di vita della struttura. In particolare il ritrovamento di ceramiche ellenistiche data alla prima metà del II secolo a.C. l’occupazione a fini residenziali dell’area. Inoltre di grande interesse archeologico ha anche l’attestazione di diverse fasi della struttura dell’impluvium che appariva leggermente spostata rispetto all’assetto originario, nonché sul rivestimento marmoreo. L’indagine archeologica, infine, ha evidenziato la trasformazione dell’originaria vasca in una fontana nell’ultima fase documentata. </w:t>
      </w:r>
      <w:r w:rsidDel="00000000" w:rsidR="00000000" w:rsidRPr="00000000">
        <w:rPr>
          <w:rtl w:val="0"/>
        </w:rPr>
      </w:r>
    </w:p>
    <w:p w:rsidR="00000000" w:rsidDel="00000000" w:rsidP="00000000" w:rsidRDefault="00000000" w:rsidRPr="00000000" w14:paraId="0000000E">
      <w:pPr>
        <w:widowControl w:val="1"/>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 motivi conservativi, il progetto ha previsto la ricostruzione della vasca e la sostituzione delle gronde, così da migliorare lo scolo delle acque piovane dal compluvium soprastante e ridurre il ristagno sulla pavimentazione e l’umidità.</w:t>
      </w:r>
    </w:p>
    <w:p w:rsidR="00000000" w:rsidDel="00000000" w:rsidP="00000000" w:rsidRDefault="00000000" w:rsidRPr="00000000" w14:paraId="0000000F">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restauro è stato finanziato con i fondi della legge di stabilità 2015, ai sensi dell’articolo 1, commi 9 e 10, della legge 23 dicembre 2014, n. 190 per l’annualità 2019, diretto da personale del Parco con la consulenza archeologica e conservativa del team dell’ Herculaneum Conservation Project, partner privato che collabora con il Parco archeologico di Ercolano dal 2001, ed eseguito dall’impresa Casinelli Giuliano S.r.l.</w:t>
      </w:r>
    </w:p>
    <w:p w:rsidR="00000000" w:rsidDel="00000000" w:rsidP="00000000" w:rsidRDefault="00000000" w:rsidRPr="00000000" w14:paraId="00000010">
      <w:pPr>
        <w:widowControl w:val="1"/>
        <w:spacing w:line="276"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widowControl w:val="1"/>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 mosaici di Ercolano costituiscono una delle grandi ricchezze del sito, rivestendo la maggior parte delle pavimentazioni di ambienti interni ed esterni degli edifici. Sono ben 3.245 i metri quadri di superfici pavimentali ricoperte da mosaici nel Parco Archeologico di Ercolano, che dimostrano quale attenzione fosse rivolta all’aspetto estetico delle domus e degli ambienti di utilizzo comune da parte degli abitanti dell’antica città.</w:t>
      </w:r>
    </w:p>
    <w:p w:rsidR="00000000" w:rsidDel="00000000" w:rsidP="00000000" w:rsidRDefault="00000000" w:rsidRPr="00000000" w14:paraId="00000012">
      <w:pPr>
        <w:widowControl w:val="1"/>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parte alcune rare eccezioni, le pavimentazioni a mosaico del sito ercolanese sono riferibili alla fase decorativa di IV Stile, con tessere nere in materiale vulcanico (leucitite) e/o bianche in marmo, identificato come palombino, disposte in modo da creare tappeti uniformi monocromi e bicromi con decorazioni perimetrali intrecciate, oppure abbelliti da riquadri centrali con raffigurazioni geometriche al loro interno o, ancora, ravvivati da inserti marmorei policromi con forme prevalentemente quadrangolari, con varia tipologia di marmi: bianco, bardiglio, giallo antico, africano, portasanta, alabastro e pavonazzetto.</w:t>
      </w:r>
    </w:p>
    <w:p w:rsidR="00000000" w:rsidDel="00000000" w:rsidP="00000000" w:rsidRDefault="00000000" w:rsidRPr="00000000" w14:paraId="00000013">
      <w:pPr>
        <w:shd w:fill="ffffff" w:val="clear"/>
        <w:spacing w:after="120" w:before="120" w:line="276" w:lineRule="auto"/>
        <w:jc w:val="both"/>
        <w:rPr/>
      </w:pPr>
      <w:r w:rsidDel="00000000" w:rsidR="00000000" w:rsidRPr="00000000">
        <w:rPr>
          <w:rtl w:val="0"/>
        </w:rPr>
      </w:r>
    </w:p>
    <w:sectPr>
      <w:headerReference r:id="rId6" w:type="default"/>
      <w:footerReference r:id="rId7" w:type="default"/>
      <w:pgSz w:h="16838" w:w="11906" w:orient="portrait"/>
      <w:pgMar w:bottom="1344" w:top="860" w:left="1905" w:right="746" w:header="720" w:footer="12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819"/>
        <w:tab w:val="right" w:pos="9638"/>
      </w:tabs>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-739774</wp:posOffset>
          </wp:positionH>
          <wp:positionV relativeFrom="paragraph">
            <wp:posOffset>171450</wp:posOffset>
          </wp:positionV>
          <wp:extent cx="3343910" cy="484505"/>
          <wp:effectExtent b="0" l="0" r="0" t="0"/>
          <wp:wrapTopAndBottom distB="0" dist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343910" cy="48450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819"/>
        <w:tab w:val="right" w:pos="963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tabs>
        <w:tab w:val="center" w:pos="4819"/>
        <w:tab w:val="right" w:pos="9638"/>
      </w:tabs>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tabs>
        <w:tab w:val="center" w:pos="4819"/>
        <w:tab w:val="right" w:pos="9638"/>
      </w:tabs>
      <w:rPr/>
    </w:pPr>
    <w:r w:rsidDel="00000000" w:rsidR="00000000" w:rsidRPr="00000000">
      <w:rPr/>
      <w:drawing>
        <wp:inline distB="0" distT="0" distL="0" distR="0">
          <wp:extent cx="1922780" cy="38354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22780" cy="3835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89" w:lineRule="auto"/>
      <w:ind w:left="5631" w:right="0" w:firstLine="0"/>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