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A85" w:rsidRDefault="00601A85" w:rsidP="00601A85">
      <w:pPr>
        <w:jc w:val="center"/>
        <w:rPr>
          <w:b/>
          <w:sz w:val="24"/>
        </w:rPr>
      </w:pPr>
      <w:r>
        <w:rPr>
          <w:b/>
          <w:noProof/>
          <w:sz w:val="24"/>
          <w:lang w:eastAsia="it-IT"/>
        </w:rPr>
        <w:drawing>
          <wp:inline distT="0" distB="0" distL="0" distR="0">
            <wp:extent cx="1079099" cy="752475"/>
            <wp:effectExtent l="0" t="0" r="698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8620" cy="759114"/>
                    </a:xfrm>
                    <a:prstGeom prst="rect">
                      <a:avLst/>
                    </a:prstGeom>
                  </pic:spPr>
                </pic:pic>
              </a:graphicData>
            </a:graphic>
          </wp:inline>
        </w:drawing>
      </w:r>
    </w:p>
    <w:p w:rsidR="001D6412" w:rsidRDefault="001D6412" w:rsidP="001D6412">
      <w:pPr>
        <w:spacing w:after="0" w:line="240" w:lineRule="auto"/>
        <w:jc w:val="center"/>
        <w:rPr>
          <w:bCs/>
          <w:smallCaps/>
          <w:color w:val="B71B54"/>
          <w:sz w:val="28"/>
          <w:szCs w:val="34"/>
          <w:lang w:eastAsia="it-IT"/>
        </w:rPr>
      </w:pPr>
    </w:p>
    <w:p w:rsidR="001D6412" w:rsidRPr="000167DE" w:rsidRDefault="001D6412" w:rsidP="001D6412">
      <w:pPr>
        <w:spacing w:after="0" w:line="240" w:lineRule="auto"/>
        <w:jc w:val="center"/>
        <w:rPr>
          <w:bCs/>
          <w:smallCaps/>
          <w:color w:val="B71B54"/>
          <w:sz w:val="28"/>
          <w:szCs w:val="34"/>
          <w:lang w:eastAsia="it-IT"/>
        </w:rPr>
      </w:pPr>
      <w:r w:rsidRPr="000167DE">
        <w:rPr>
          <w:bCs/>
          <w:smallCaps/>
          <w:color w:val="B71B54"/>
          <w:sz w:val="28"/>
          <w:szCs w:val="34"/>
          <w:lang w:eastAsia="it-IT"/>
        </w:rPr>
        <w:t>15° Rapporto Annuale Federculture 2019</w:t>
      </w:r>
    </w:p>
    <w:p w:rsidR="001D6412" w:rsidRPr="000167DE" w:rsidRDefault="001D6412" w:rsidP="001D6412">
      <w:pPr>
        <w:spacing w:after="0" w:line="240" w:lineRule="auto"/>
        <w:jc w:val="center"/>
        <w:rPr>
          <w:bCs/>
          <w:color w:val="445364"/>
          <w:sz w:val="60"/>
          <w:szCs w:val="60"/>
        </w:rPr>
      </w:pPr>
      <w:r w:rsidRPr="000167DE">
        <w:rPr>
          <w:bCs/>
          <w:color w:val="445364"/>
          <w:sz w:val="60"/>
          <w:szCs w:val="60"/>
        </w:rPr>
        <w:t>IMPRESA CULTURA</w:t>
      </w:r>
    </w:p>
    <w:p w:rsidR="001D6412" w:rsidRPr="000167DE" w:rsidRDefault="001D6412" w:rsidP="001D6412">
      <w:pPr>
        <w:spacing w:after="0" w:line="240" w:lineRule="auto"/>
        <w:jc w:val="center"/>
        <w:rPr>
          <w:bCs/>
          <w:color w:val="B71B54"/>
          <w:sz w:val="40"/>
          <w:szCs w:val="48"/>
        </w:rPr>
      </w:pPr>
      <w:proofErr w:type="gramStart"/>
      <w:r w:rsidRPr="000167DE">
        <w:rPr>
          <w:bCs/>
          <w:color w:val="B71B54"/>
          <w:sz w:val="40"/>
          <w:szCs w:val="48"/>
        </w:rPr>
        <w:t>politiche</w:t>
      </w:r>
      <w:proofErr w:type="gramEnd"/>
      <w:r w:rsidRPr="000167DE">
        <w:rPr>
          <w:color w:val="B71B54"/>
          <w:sz w:val="40"/>
          <w:szCs w:val="48"/>
        </w:rPr>
        <w:t xml:space="preserve"> </w:t>
      </w:r>
      <w:r w:rsidRPr="000167DE">
        <w:rPr>
          <w:color w:val="445364"/>
          <w:sz w:val="40"/>
          <w:szCs w:val="48"/>
        </w:rPr>
        <w:t xml:space="preserve">| </w:t>
      </w:r>
      <w:r w:rsidRPr="000167DE">
        <w:rPr>
          <w:bCs/>
          <w:color w:val="B71B54"/>
          <w:sz w:val="40"/>
          <w:szCs w:val="48"/>
        </w:rPr>
        <w:t>reti</w:t>
      </w:r>
      <w:r w:rsidRPr="000167DE">
        <w:rPr>
          <w:color w:val="B71B54"/>
          <w:sz w:val="40"/>
          <w:szCs w:val="48"/>
        </w:rPr>
        <w:t xml:space="preserve"> </w:t>
      </w:r>
      <w:r w:rsidRPr="000167DE">
        <w:rPr>
          <w:color w:val="445364"/>
          <w:sz w:val="40"/>
          <w:szCs w:val="48"/>
        </w:rPr>
        <w:t xml:space="preserve">| </w:t>
      </w:r>
      <w:r w:rsidRPr="000167DE">
        <w:rPr>
          <w:bCs/>
          <w:color w:val="B71B54"/>
          <w:sz w:val="40"/>
          <w:szCs w:val="48"/>
        </w:rPr>
        <w:t>competenze</w:t>
      </w:r>
    </w:p>
    <w:p w:rsidR="008028E6" w:rsidRDefault="008028E6" w:rsidP="00424083">
      <w:pPr>
        <w:spacing w:before="120"/>
        <w:jc w:val="center"/>
        <w:rPr>
          <w:b/>
          <w:sz w:val="28"/>
        </w:rPr>
      </w:pPr>
    </w:p>
    <w:p w:rsidR="00C6147A" w:rsidRPr="008028E6" w:rsidRDefault="00444C00" w:rsidP="00424083">
      <w:pPr>
        <w:spacing w:before="120"/>
        <w:jc w:val="center"/>
        <w:rPr>
          <w:b/>
          <w:sz w:val="28"/>
        </w:rPr>
      </w:pPr>
      <w:r w:rsidRPr="008028E6">
        <w:rPr>
          <w:b/>
          <w:sz w:val="28"/>
        </w:rPr>
        <w:t xml:space="preserve">- </w:t>
      </w:r>
      <w:r w:rsidR="00C6147A" w:rsidRPr="008028E6">
        <w:rPr>
          <w:b/>
          <w:sz w:val="28"/>
        </w:rPr>
        <w:t>SINTESI DEI DATI PRINCIPALI</w:t>
      </w:r>
      <w:r w:rsidRPr="008028E6">
        <w:rPr>
          <w:b/>
          <w:sz w:val="28"/>
        </w:rPr>
        <w:t xml:space="preserve"> </w:t>
      </w:r>
      <w:r w:rsidR="00424083">
        <w:rPr>
          <w:b/>
          <w:sz w:val="28"/>
        </w:rPr>
        <w:t>E</w:t>
      </w:r>
      <w:r w:rsidRPr="008028E6">
        <w:rPr>
          <w:b/>
          <w:sz w:val="28"/>
        </w:rPr>
        <w:t xml:space="preserve"> </w:t>
      </w:r>
      <w:r w:rsidR="0089387B">
        <w:rPr>
          <w:b/>
          <w:sz w:val="28"/>
        </w:rPr>
        <w:t>CONFRONTI ITALIA-CAMPANIA</w:t>
      </w:r>
    </w:p>
    <w:p w:rsidR="003B0BE9" w:rsidRDefault="003B0BE9" w:rsidP="00CB168D">
      <w:pPr>
        <w:spacing w:after="0"/>
        <w:rPr>
          <w:b/>
          <w:sz w:val="24"/>
        </w:rPr>
      </w:pPr>
    </w:p>
    <w:p w:rsidR="00941EE2" w:rsidRDefault="00941EE2" w:rsidP="00CB168D">
      <w:pPr>
        <w:spacing w:after="0"/>
        <w:rPr>
          <w:b/>
          <w:sz w:val="24"/>
        </w:rPr>
      </w:pPr>
    </w:p>
    <w:p w:rsidR="00C6147A" w:rsidRPr="00C6147A" w:rsidRDefault="001D6412" w:rsidP="00D12286">
      <w:pPr>
        <w:pStyle w:val="Paragrafoelenco"/>
        <w:numPr>
          <w:ilvl w:val="0"/>
          <w:numId w:val="1"/>
        </w:numPr>
        <w:pBdr>
          <w:top w:val="single" w:sz="4" w:space="1" w:color="auto"/>
          <w:bottom w:val="single" w:sz="4" w:space="1" w:color="auto"/>
        </w:pBdr>
        <w:ind w:left="0" w:firstLine="0"/>
        <w:rPr>
          <w:i/>
          <w:sz w:val="24"/>
        </w:rPr>
      </w:pPr>
      <w:r>
        <w:rPr>
          <w:i/>
          <w:sz w:val="24"/>
        </w:rPr>
        <w:t xml:space="preserve">LA </w:t>
      </w:r>
      <w:r w:rsidR="00A14E96">
        <w:rPr>
          <w:i/>
          <w:sz w:val="24"/>
        </w:rPr>
        <w:t>PARTECIPAZIONE</w:t>
      </w:r>
      <w:r>
        <w:rPr>
          <w:i/>
          <w:sz w:val="24"/>
        </w:rPr>
        <w:t xml:space="preserve"> E IL CONSUMO CULTURALE</w:t>
      </w:r>
    </w:p>
    <w:p w:rsidR="00C6147A" w:rsidRDefault="00907691" w:rsidP="000373D1">
      <w:pPr>
        <w:spacing w:line="276" w:lineRule="auto"/>
        <w:jc w:val="both"/>
        <w:rPr>
          <w:sz w:val="24"/>
        </w:rPr>
      </w:pPr>
      <w:r>
        <w:rPr>
          <w:sz w:val="24"/>
        </w:rPr>
        <w:t>Nel 2018</w:t>
      </w:r>
      <w:r w:rsidRPr="00907691">
        <w:rPr>
          <w:sz w:val="24"/>
        </w:rPr>
        <w:t>,</w:t>
      </w:r>
      <w:r>
        <w:rPr>
          <w:sz w:val="24"/>
        </w:rPr>
        <w:t xml:space="preserve"> la </w:t>
      </w:r>
      <w:r w:rsidRPr="00D9078D">
        <w:rPr>
          <w:b/>
          <w:sz w:val="24"/>
          <w:u w:val="single"/>
        </w:rPr>
        <w:t>spesa per ricreazione e cultura</w:t>
      </w:r>
      <w:r w:rsidRPr="00907691">
        <w:rPr>
          <w:sz w:val="24"/>
        </w:rPr>
        <w:t xml:space="preserve"> si assesta su </w:t>
      </w:r>
      <w:r w:rsidRPr="00907691">
        <w:rPr>
          <w:b/>
          <w:sz w:val="24"/>
        </w:rPr>
        <w:t>72,5 miliardi di euro</w:t>
      </w:r>
      <w:r w:rsidRPr="00907691">
        <w:rPr>
          <w:sz w:val="24"/>
        </w:rPr>
        <w:t xml:space="preserve">, pari al </w:t>
      </w:r>
      <w:r w:rsidRPr="00907691">
        <w:rPr>
          <w:b/>
          <w:sz w:val="24"/>
        </w:rPr>
        <w:t xml:space="preserve">6,7% della spesa complessiva </w:t>
      </w:r>
      <w:r w:rsidRPr="00907691">
        <w:rPr>
          <w:sz w:val="24"/>
        </w:rPr>
        <w:t>delle famiglie italiane</w:t>
      </w:r>
      <w:r w:rsidR="00D51F2E">
        <w:rPr>
          <w:sz w:val="24"/>
        </w:rPr>
        <w:t>,</w:t>
      </w:r>
      <w:r w:rsidR="00D51F2E">
        <w:rPr>
          <w:b/>
          <w:sz w:val="24"/>
        </w:rPr>
        <w:t xml:space="preserve"> </w:t>
      </w:r>
      <w:r w:rsidR="00D51F2E" w:rsidRPr="00D51F2E">
        <w:rPr>
          <w:sz w:val="24"/>
        </w:rPr>
        <w:t>la</w:t>
      </w:r>
      <w:r w:rsidRPr="00907691">
        <w:rPr>
          <w:sz w:val="24"/>
        </w:rPr>
        <w:t xml:space="preserve"> stessa incidenza </w:t>
      </w:r>
      <w:r w:rsidR="00D51F2E">
        <w:rPr>
          <w:sz w:val="24"/>
        </w:rPr>
        <w:t xml:space="preserve">che </w:t>
      </w:r>
      <w:r w:rsidRPr="00907691">
        <w:rPr>
          <w:sz w:val="24"/>
        </w:rPr>
        <w:t xml:space="preserve">si era osservata per il 2017. </w:t>
      </w:r>
      <w:r>
        <w:rPr>
          <w:sz w:val="24"/>
        </w:rPr>
        <w:t>L’incremento registrato sul 2017 è del</w:t>
      </w:r>
      <w:r w:rsidRPr="00907691">
        <w:rPr>
          <w:sz w:val="24"/>
        </w:rPr>
        <w:t xml:space="preserve"> </w:t>
      </w:r>
      <w:r w:rsidRPr="00907691">
        <w:rPr>
          <w:b/>
          <w:sz w:val="24"/>
        </w:rPr>
        <w:t>2,4%</w:t>
      </w:r>
      <w:r>
        <w:rPr>
          <w:b/>
          <w:sz w:val="24"/>
        </w:rPr>
        <w:t xml:space="preserve">, </w:t>
      </w:r>
      <w:r w:rsidRPr="00907691">
        <w:rPr>
          <w:sz w:val="24"/>
        </w:rPr>
        <w:t xml:space="preserve">leggermente superiore a quello che </w:t>
      </w:r>
      <w:r>
        <w:rPr>
          <w:sz w:val="24"/>
        </w:rPr>
        <w:t>si osserva nel totale di spesa per consumi finali</w:t>
      </w:r>
      <w:r w:rsidR="00D51F2E">
        <w:rPr>
          <w:sz w:val="24"/>
        </w:rPr>
        <w:t>,</w:t>
      </w:r>
      <w:r>
        <w:rPr>
          <w:sz w:val="24"/>
        </w:rPr>
        <w:t xml:space="preserve"> pari all’1,9%.</w:t>
      </w:r>
    </w:p>
    <w:tbl>
      <w:tblPr>
        <w:tblStyle w:val="Grigliatabella"/>
        <w:tblW w:w="5821" w:type="pct"/>
        <w:jc w:val="center"/>
        <w:tblLook w:val="04A0" w:firstRow="1" w:lastRow="0" w:firstColumn="1" w:lastColumn="0" w:noHBand="0" w:noVBand="1"/>
      </w:tblPr>
      <w:tblGrid>
        <w:gridCol w:w="1110"/>
        <w:gridCol w:w="743"/>
        <w:gridCol w:w="743"/>
        <w:gridCol w:w="827"/>
        <w:gridCol w:w="865"/>
        <w:gridCol w:w="891"/>
        <w:gridCol w:w="866"/>
        <w:gridCol w:w="743"/>
        <w:gridCol w:w="898"/>
        <w:gridCol w:w="928"/>
        <w:gridCol w:w="902"/>
        <w:gridCol w:w="932"/>
        <w:gridCol w:w="1024"/>
      </w:tblGrid>
      <w:tr w:rsidR="001D6412" w:rsidRPr="001D6412" w:rsidTr="00907691">
        <w:trPr>
          <w:trHeight w:val="315"/>
          <w:jc w:val="center"/>
        </w:trPr>
        <w:tc>
          <w:tcPr>
            <w:tcW w:w="5000" w:type="pct"/>
            <w:gridSpan w:val="13"/>
            <w:shd w:val="clear" w:color="auto" w:fill="ACB9CA" w:themeFill="text2" w:themeFillTint="66"/>
            <w:vAlign w:val="center"/>
            <w:hideMark/>
          </w:tcPr>
          <w:p w:rsidR="001D6412" w:rsidRPr="001D6412" w:rsidRDefault="001D6412" w:rsidP="00907691">
            <w:pPr>
              <w:rPr>
                <w:rFonts w:cstheme="minorHAnsi"/>
                <w:b/>
                <w:bCs/>
                <w:sz w:val="18"/>
                <w:szCs w:val="16"/>
              </w:rPr>
            </w:pPr>
            <w:r w:rsidRPr="00D9078D">
              <w:rPr>
                <w:rFonts w:cstheme="minorHAnsi"/>
                <w:b/>
                <w:bCs/>
                <w:sz w:val="20"/>
                <w:szCs w:val="16"/>
              </w:rPr>
              <w:t xml:space="preserve">Spesa delle famiglie italiane - Valori a prezzi correnti </w:t>
            </w:r>
            <w:r w:rsidRPr="00D9078D">
              <w:rPr>
                <w:rFonts w:cstheme="minorHAnsi"/>
                <w:i/>
                <w:iCs/>
                <w:sz w:val="20"/>
                <w:szCs w:val="16"/>
              </w:rPr>
              <w:t>(milioni di euro)</w:t>
            </w:r>
          </w:p>
        </w:tc>
      </w:tr>
      <w:tr w:rsidR="00907691" w:rsidRPr="001D6412" w:rsidTr="00907691">
        <w:trPr>
          <w:trHeight w:val="379"/>
          <w:jc w:val="center"/>
        </w:trPr>
        <w:tc>
          <w:tcPr>
            <w:tcW w:w="484" w:type="pct"/>
            <w:shd w:val="clear" w:color="auto" w:fill="D5DCE4" w:themeFill="text2" w:themeFillTint="33"/>
            <w:hideMark/>
          </w:tcPr>
          <w:p w:rsidR="001D6412" w:rsidRPr="001D6412" w:rsidRDefault="001D6412" w:rsidP="001D6412">
            <w:pPr>
              <w:jc w:val="both"/>
              <w:rPr>
                <w:rFonts w:cstheme="minorHAnsi"/>
                <w:sz w:val="16"/>
                <w:szCs w:val="16"/>
              </w:rPr>
            </w:pPr>
            <w:r w:rsidRPr="001D6412">
              <w:rPr>
                <w:rFonts w:cstheme="minorHAnsi"/>
                <w:sz w:val="16"/>
                <w:szCs w:val="16"/>
              </w:rPr>
              <w:t> </w:t>
            </w:r>
          </w:p>
        </w:tc>
        <w:tc>
          <w:tcPr>
            <w:tcW w:w="324" w:type="pct"/>
            <w:shd w:val="clear" w:color="auto" w:fill="D5DCE4" w:themeFill="text2" w:themeFillTint="33"/>
            <w:vAlign w:val="center"/>
            <w:hideMark/>
          </w:tcPr>
          <w:p w:rsidR="001D6412" w:rsidRPr="00AB3BAB" w:rsidRDefault="001D6412" w:rsidP="00907691">
            <w:pPr>
              <w:jc w:val="center"/>
              <w:rPr>
                <w:rFonts w:cstheme="minorHAnsi"/>
                <w:b/>
                <w:bCs/>
                <w:sz w:val="18"/>
                <w:szCs w:val="16"/>
              </w:rPr>
            </w:pPr>
            <w:r w:rsidRPr="00AB3BAB">
              <w:rPr>
                <w:rFonts w:cstheme="minorHAnsi"/>
                <w:b/>
                <w:bCs/>
                <w:sz w:val="18"/>
                <w:szCs w:val="16"/>
              </w:rPr>
              <w:t>2008</w:t>
            </w:r>
          </w:p>
        </w:tc>
        <w:tc>
          <w:tcPr>
            <w:tcW w:w="324" w:type="pct"/>
            <w:shd w:val="clear" w:color="auto" w:fill="D5DCE4" w:themeFill="text2" w:themeFillTint="33"/>
            <w:vAlign w:val="center"/>
            <w:hideMark/>
          </w:tcPr>
          <w:p w:rsidR="001D6412" w:rsidRPr="00AB3BAB" w:rsidRDefault="001D6412" w:rsidP="00907691">
            <w:pPr>
              <w:jc w:val="center"/>
              <w:rPr>
                <w:rFonts w:cstheme="minorHAnsi"/>
                <w:b/>
                <w:bCs/>
                <w:sz w:val="18"/>
                <w:szCs w:val="16"/>
              </w:rPr>
            </w:pPr>
            <w:r w:rsidRPr="00AB3BAB">
              <w:rPr>
                <w:rFonts w:cstheme="minorHAnsi"/>
                <w:b/>
                <w:bCs/>
                <w:sz w:val="18"/>
                <w:szCs w:val="16"/>
              </w:rPr>
              <w:t>2009</w:t>
            </w:r>
          </w:p>
        </w:tc>
        <w:tc>
          <w:tcPr>
            <w:tcW w:w="366" w:type="pct"/>
            <w:shd w:val="clear" w:color="auto" w:fill="D5DCE4" w:themeFill="text2" w:themeFillTint="33"/>
            <w:vAlign w:val="center"/>
            <w:hideMark/>
          </w:tcPr>
          <w:p w:rsidR="001D6412" w:rsidRPr="00AB3BAB" w:rsidRDefault="001D6412" w:rsidP="00907691">
            <w:pPr>
              <w:jc w:val="center"/>
              <w:rPr>
                <w:rFonts w:cstheme="minorHAnsi"/>
                <w:b/>
                <w:bCs/>
                <w:sz w:val="18"/>
                <w:szCs w:val="16"/>
              </w:rPr>
            </w:pPr>
            <w:r w:rsidRPr="00AB3BAB">
              <w:rPr>
                <w:rFonts w:cstheme="minorHAnsi"/>
                <w:b/>
                <w:bCs/>
                <w:sz w:val="18"/>
                <w:szCs w:val="16"/>
              </w:rPr>
              <w:t>2010</w:t>
            </w:r>
          </w:p>
        </w:tc>
        <w:tc>
          <w:tcPr>
            <w:tcW w:w="377" w:type="pct"/>
            <w:shd w:val="clear" w:color="auto" w:fill="D5DCE4" w:themeFill="text2" w:themeFillTint="33"/>
            <w:vAlign w:val="center"/>
            <w:hideMark/>
          </w:tcPr>
          <w:p w:rsidR="001D6412" w:rsidRPr="00AB3BAB" w:rsidRDefault="001D6412" w:rsidP="00907691">
            <w:pPr>
              <w:jc w:val="center"/>
              <w:rPr>
                <w:rFonts w:cstheme="minorHAnsi"/>
                <w:b/>
                <w:bCs/>
                <w:sz w:val="18"/>
                <w:szCs w:val="16"/>
              </w:rPr>
            </w:pPr>
            <w:r w:rsidRPr="00AB3BAB">
              <w:rPr>
                <w:rFonts w:cstheme="minorHAnsi"/>
                <w:b/>
                <w:bCs/>
                <w:sz w:val="18"/>
                <w:szCs w:val="16"/>
              </w:rPr>
              <w:t>2011</w:t>
            </w:r>
          </w:p>
        </w:tc>
        <w:tc>
          <w:tcPr>
            <w:tcW w:w="394" w:type="pct"/>
            <w:shd w:val="clear" w:color="auto" w:fill="D5DCE4" w:themeFill="text2" w:themeFillTint="33"/>
            <w:vAlign w:val="center"/>
            <w:hideMark/>
          </w:tcPr>
          <w:p w:rsidR="001D6412" w:rsidRPr="00AB3BAB" w:rsidRDefault="001D6412" w:rsidP="00907691">
            <w:pPr>
              <w:jc w:val="center"/>
              <w:rPr>
                <w:rFonts w:cstheme="minorHAnsi"/>
                <w:b/>
                <w:bCs/>
                <w:sz w:val="18"/>
                <w:szCs w:val="16"/>
              </w:rPr>
            </w:pPr>
            <w:r w:rsidRPr="00AB3BAB">
              <w:rPr>
                <w:rFonts w:cstheme="minorHAnsi"/>
                <w:b/>
                <w:bCs/>
                <w:sz w:val="18"/>
                <w:szCs w:val="16"/>
              </w:rPr>
              <w:t>2012</w:t>
            </w:r>
          </w:p>
        </w:tc>
        <w:tc>
          <w:tcPr>
            <w:tcW w:w="383" w:type="pct"/>
            <w:shd w:val="clear" w:color="auto" w:fill="D5DCE4" w:themeFill="text2" w:themeFillTint="33"/>
            <w:vAlign w:val="center"/>
            <w:hideMark/>
          </w:tcPr>
          <w:p w:rsidR="001D6412" w:rsidRPr="00AB3BAB" w:rsidRDefault="001D6412" w:rsidP="00907691">
            <w:pPr>
              <w:jc w:val="center"/>
              <w:rPr>
                <w:rFonts w:cstheme="minorHAnsi"/>
                <w:b/>
                <w:bCs/>
                <w:sz w:val="18"/>
                <w:szCs w:val="16"/>
              </w:rPr>
            </w:pPr>
            <w:r w:rsidRPr="00AB3BAB">
              <w:rPr>
                <w:rFonts w:cstheme="minorHAnsi"/>
                <w:b/>
                <w:bCs/>
                <w:sz w:val="18"/>
                <w:szCs w:val="16"/>
              </w:rPr>
              <w:t>2013</w:t>
            </w:r>
          </w:p>
        </w:tc>
        <w:tc>
          <w:tcPr>
            <w:tcW w:w="324" w:type="pct"/>
            <w:shd w:val="clear" w:color="auto" w:fill="D5DCE4" w:themeFill="text2" w:themeFillTint="33"/>
            <w:vAlign w:val="center"/>
            <w:hideMark/>
          </w:tcPr>
          <w:p w:rsidR="001D6412" w:rsidRPr="00AB3BAB" w:rsidRDefault="001D6412" w:rsidP="00907691">
            <w:pPr>
              <w:jc w:val="center"/>
              <w:rPr>
                <w:rFonts w:cstheme="minorHAnsi"/>
                <w:b/>
                <w:bCs/>
                <w:sz w:val="18"/>
                <w:szCs w:val="16"/>
              </w:rPr>
            </w:pPr>
            <w:r w:rsidRPr="00AB3BAB">
              <w:rPr>
                <w:rFonts w:cstheme="minorHAnsi"/>
                <w:b/>
                <w:bCs/>
                <w:sz w:val="18"/>
                <w:szCs w:val="16"/>
              </w:rPr>
              <w:t>2014</w:t>
            </w:r>
          </w:p>
        </w:tc>
        <w:tc>
          <w:tcPr>
            <w:tcW w:w="397" w:type="pct"/>
            <w:shd w:val="clear" w:color="auto" w:fill="D5DCE4" w:themeFill="text2" w:themeFillTint="33"/>
            <w:vAlign w:val="center"/>
            <w:hideMark/>
          </w:tcPr>
          <w:p w:rsidR="001D6412" w:rsidRPr="00AB3BAB" w:rsidRDefault="001D6412" w:rsidP="00907691">
            <w:pPr>
              <w:jc w:val="center"/>
              <w:rPr>
                <w:rFonts w:cstheme="minorHAnsi"/>
                <w:b/>
                <w:bCs/>
                <w:sz w:val="18"/>
                <w:szCs w:val="16"/>
              </w:rPr>
            </w:pPr>
            <w:r w:rsidRPr="00AB3BAB">
              <w:rPr>
                <w:rFonts w:cstheme="minorHAnsi"/>
                <w:b/>
                <w:bCs/>
                <w:sz w:val="18"/>
                <w:szCs w:val="16"/>
              </w:rPr>
              <w:t>2015</w:t>
            </w:r>
          </w:p>
        </w:tc>
        <w:tc>
          <w:tcPr>
            <w:tcW w:w="410" w:type="pct"/>
            <w:shd w:val="clear" w:color="auto" w:fill="D5DCE4" w:themeFill="text2" w:themeFillTint="33"/>
            <w:vAlign w:val="center"/>
            <w:hideMark/>
          </w:tcPr>
          <w:p w:rsidR="001D6412" w:rsidRPr="00AB3BAB" w:rsidRDefault="001D6412" w:rsidP="00907691">
            <w:pPr>
              <w:jc w:val="center"/>
              <w:rPr>
                <w:rFonts w:cstheme="minorHAnsi"/>
                <w:b/>
                <w:bCs/>
                <w:sz w:val="18"/>
                <w:szCs w:val="16"/>
              </w:rPr>
            </w:pPr>
            <w:r w:rsidRPr="00AB3BAB">
              <w:rPr>
                <w:rFonts w:cstheme="minorHAnsi"/>
                <w:b/>
                <w:bCs/>
                <w:sz w:val="18"/>
                <w:szCs w:val="16"/>
              </w:rPr>
              <w:t>2016</w:t>
            </w:r>
          </w:p>
        </w:tc>
        <w:tc>
          <w:tcPr>
            <w:tcW w:w="399" w:type="pct"/>
            <w:shd w:val="clear" w:color="auto" w:fill="D5DCE4" w:themeFill="text2" w:themeFillTint="33"/>
            <w:vAlign w:val="center"/>
            <w:hideMark/>
          </w:tcPr>
          <w:p w:rsidR="001D6412" w:rsidRPr="00AB3BAB" w:rsidRDefault="001D6412" w:rsidP="00907691">
            <w:pPr>
              <w:jc w:val="center"/>
              <w:rPr>
                <w:rFonts w:cstheme="minorHAnsi"/>
                <w:b/>
                <w:bCs/>
                <w:sz w:val="18"/>
                <w:szCs w:val="16"/>
              </w:rPr>
            </w:pPr>
            <w:r w:rsidRPr="00AB3BAB">
              <w:rPr>
                <w:rFonts w:cstheme="minorHAnsi"/>
                <w:b/>
                <w:bCs/>
                <w:sz w:val="18"/>
                <w:szCs w:val="16"/>
              </w:rPr>
              <w:t>2017</w:t>
            </w:r>
          </w:p>
        </w:tc>
        <w:tc>
          <w:tcPr>
            <w:tcW w:w="412" w:type="pct"/>
            <w:shd w:val="clear" w:color="auto" w:fill="D5DCE4" w:themeFill="text2" w:themeFillTint="33"/>
            <w:vAlign w:val="center"/>
            <w:hideMark/>
          </w:tcPr>
          <w:p w:rsidR="001D6412" w:rsidRPr="00AB3BAB" w:rsidRDefault="001D6412" w:rsidP="00907691">
            <w:pPr>
              <w:jc w:val="center"/>
              <w:rPr>
                <w:rFonts w:cstheme="minorHAnsi"/>
                <w:b/>
                <w:bCs/>
                <w:sz w:val="18"/>
                <w:szCs w:val="16"/>
              </w:rPr>
            </w:pPr>
            <w:r w:rsidRPr="00AB3BAB">
              <w:rPr>
                <w:rFonts w:cstheme="minorHAnsi"/>
                <w:b/>
                <w:bCs/>
                <w:sz w:val="18"/>
                <w:szCs w:val="16"/>
              </w:rPr>
              <w:t>2018</w:t>
            </w:r>
          </w:p>
        </w:tc>
        <w:tc>
          <w:tcPr>
            <w:tcW w:w="407" w:type="pct"/>
            <w:shd w:val="clear" w:color="auto" w:fill="D5DCE4" w:themeFill="text2" w:themeFillTint="33"/>
            <w:vAlign w:val="center"/>
            <w:hideMark/>
          </w:tcPr>
          <w:p w:rsidR="001D6412" w:rsidRPr="00AB3BAB" w:rsidRDefault="001D6412" w:rsidP="00907691">
            <w:pPr>
              <w:jc w:val="center"/>
              <w:rPr>
                <w:rFonts w:cstheme="minorHAnsi"/>
                <w:b/>
                <w:bCs/>
                <w:sz w:val="18"/>
                <w:szCs w:val="16"/>
              </w:rPr>
            </w:pPr>
            <w:proofErr w:type="spellStart"/>
            <w:r w:rsidRPr="00AB3BAB">
              <w:rPr>
                <w:rFonts w:cstheme="minorHAnsi"/>
                <w:b/>
                <w:bCs/>
                <w:sz w:val="18"/>
                <w:szCs w:val="16"/>
              </w:rPr>
              <w:t>Var</w:t>
            </w:r>
            <w:proofErr w:type="spellEnd"/>
            <w:r w:rsidRPr="00AB3BAB">
              <w:rPr>
                <w:rFonts w:cstheme="minorHAnsi"/>
                <w:b/>
                <w:bCs/>
                <w:sz w:val="18"/>
                <w:szCs w:val="16"/>
              </w:rPr>
              <w:t xml:space="preserve"> 2018/2017</w:t>
            </w:r>
          </w:p>
        </w:tc>
      </w:tr>
      <w:tr w:rsidR="00907691" w:rsidRPr="001D6412" w:rsidTr="00907691">
        <w:trPr>
          <w:trHeight w:val="868"/>
          <w:jc w:val="center"/>
        </w:trPr>
        <w:tc>
          <w:tcPr>
            <w:tcW w:w="484" w:type="pct"/>
            <w:vAlign w:val="center"/>
            <w:hideMark/>
          </w:tcPr>
          <w:p w:rsidR="001D6412" w:rsidRPr="001D6412" w:rsidRDefault="00907691" w:rsidP="00907691">
            <w:pPr>
              <w:rPr>
                <w:rFonts w:cstheme="minorHAnsi"/>
                <w:b/>
                <w:bCs/>
                <w:sz w:val="16"/>
                <w:szCs w:val="16"/>
              </w:rPr>
            </w:pPr>
            <w:r>
              <w:rPr>
                <w:rFonts w:cstheme="minorHAnsi"/>
                <w:b/>
                <w:bCs/>
                <w:sz w:val="16"/>
                <w:szCs w:val="16"/>
              </w:rPr>
              <w:t xml:space="preserve">SPESA IN </w:t>
            </w:r>
            <w:r w:rsidR="001D6412" w:rsidRPr="001D6412">
              <w:rPr>
                <w:rFonts w:cstheme="minorHAnsi"/>
                <w:b/>
                <w:bCs/>
                <w:sz w:val="16"/>
                <w:szCs w:val="16"/>
              </w:rPr>
              <w:t>CULTURA E RICREAZIONE</w:t>
            </w:r>
          </w:p>
        </w:tc>
        <w:tc>
          <w:tcPr>
            <w:tcW w:w="324" w:type="pct"/>
            <w:noWrap/>
            <w:vAlign w:val="center"/>
            <w:hideMark/>
          </w:tcPr>
          <w:p w:rsidR="001D6412" w:rsidRPr="001D6412" w:rsidRDefault="001D6412" w:rsidP="00907691">
            <w:pPr>
              <w:jc w:val="center"/>
              <w:rPr>
                <w:rFonts w:cstheme="minorHAnsi"/>
                <w:sz w:val="16"/>
                <w:szCs w:val="16"/>
              </w:rPr>
            </w:pPr>
            <w:r>
              <w:rPr>
                <w:rFonts w:cstheme="minorHAnsi"/>
                <w:sz w:val="16"/>
                <w:szCs w:val="16"/>
              </w:rPr>
              <w:t>67.023</w:t>
            </w:r>
          </w:p>
        </w:tc>
        <w:tc>
          <w:tcPr>
            <w:tcW w:w="324" w:type="pct"/>
            <w:noWrap/>
            <w:vAlign w:val="center"/>
            <w:hideMark/>
          </w:tcPr>
          <w:p w:rsidR="001D6412" w:rsidRPr="001D6412" w:rsidRDefault="001D6412" w:rsidP="00907691">
            <w:pPr>
              <w:jc w:val="center"/>
              <w:rPr>
                <w:rFonts w:cstheme="minorHAnsi"/>
                <w:sz w:val="16"/>
                <w:szCs w:val="16"/>
              </w:rPr>
            </w:pPr>
            <w:r w:rsidRPr="001D6412">
              <w:rPr>
                <w:rFonts w:cstheme="minorHAnsi"/>
                <w:sz w:val="16"/>
                <w:szCs w:val="16"/>
              </w:rPr>
              <w:t>67.024</w:t>
            </w:r>
          </w:p>
        </w:tc>
        <w:tc>
          <w:tcPr>
            <w:tcW w:w="366" w:type="pct"/>
            <w:noWrap/>
            <w:vAlign w:val="center"/>
            <w:hideMark/>
          </w:tcPr>
          <w:p w:rsidR="001D6412" w:rsidRPr="001D6412" w:rsidRDefault="001D6412" w:rsidP="00907691">
            <w:pPr>
              <w:jc w:val="center"/>
              <w:rPr>
                <w:rFonts w:cstheme="minorHAnsi"/>
                <w:sz w:val="16"/>
                <w:szCs w:val="16"/>
              </w:rPr>
            </w:pPr>
            <w:r>
              <w:rPr>
                <w:rFonts w:cstheme="minorHAnsi"/>
                <w:sz w:val="16"/>
                <w:szCs w:val="16"/>
              </w:rPr>
              <w:t>70.589</w:t>
            </w:r>
          </w:p>
        </w:tc>
        <w:tc>
          <w:tcPr>
            <w:tcW w:w="377" w:type="pct"/>
            <w:noWrap/>
            <w:vAlign w:val="center"/>
            <w:hideMark/>
          </w:tcPr>
          <w:p w:rsidR="001D6412" w:rsidRPr="001D6412" w:rsidRDefault="001D6412" w:rsidP="00907691">
            <w:pPr>
              <w:jc w:val="center"/>
              <w:rPr>
                <w:rFonts w:cstheme="minorHAnsi"/>
                <w:sz w:val="16"/>
                <w:szCs w:val="16"/>
              </w:rPr>
            </w:pPr>
            <w:r w:rsidRPr="001D6412">
              <w:rPr>
                <w:rFonts w:cstheme="minorHAnsi"/>
                <w:sz w:val="16"/>
                <w:szCs w:val="16"/>
              </w:rPr>
              <w:t>72.127</w:t>
            </w:r>
          </w:p>
        </w:tc>
        <w:tc>
          <w:tcPr>
            <w:tcW w:w="394" w:type="pct"/>
            <w:noWrap/>
            <w:vAlign w:val="center"/>
            <w:hideMark/>
          </w:tcPr>
          <w:p w:rsidR="001D6412" w:rsidRPr="001D6412" w:rsidRDefault="001D6412" w:rsidP="00907691">
            <w:pPr>
              <w:jc w:val="center"/>
              <w:rPr>
                <w:rFonts w:cstheme="minorHAnsi"/>
                <w:sz w:val="16"/>
                <w:szCs w:val="16"/>
              </w:rPr>
            </w:pPr>
            <w:r w:rsidRPr="001D6412">
              <w:rPr>
                <w:rFonts w:cstheme="minorHAnsi"/>
                <w:sz w:val="16"/>
                <w:szCs w:val="16"/>
              </w:rPr>
              <w:t>68.447</w:t>
            </w:r>
          </w:p>
        </w:tc>
        <w:tc>
          <w:tcPr>
            <w:tcW w:w="383" w:type="pct"/>
            <w:noWrap/>
            <w:vAlign w:val="center"/>
            <w:hideMark/>
          </w:tcPr>
          <w:p w:rsidR="001D6412" w:rsidRPr="001D6412" w:rsidRDefault="001D6412" w:rsidP="00907691">
            <w:pPr>
              <w:jc w:val="center"/>
              <w:rPr>
                <w:rFonts w:cstheme="minorHAnsi"/>
                <w:sz w:val="16"/>
                <w:szCs w:val="16"/>
              </w:rPr>
            </w:pPr>
            <w:r w:rsidRPr="001D6412">
              <w:rPr>
                <w:rFonts w:cstheme="minorHAnsi"/>
                <w:sz w:val="16"/>
                <w:szCs w:val="16"/>
              </w:rPr>
              <w:t>63.968</w:t>
            </w:r>
          </w:p>
        </w:tc>
        <w:tc>
          <w:tcPr>
            <w:tcW w:w="324" w:type="pct"/>
            <w:noWrap/>
            <w:vAlign w:val="center"/>
            <w:hideMark/>
          </w:tcPr>
          <w:p w:rsidR="001D6412" w:rsidRPr="001D6412" w:rsidRDefault="001D6412" w:rsidP="00907691">
            <w:pPr>
              <w:jc w:val="center"/>
              <w:rPr>
                <w:rFonts w:cstheme="minorHAnsi"/>
                <w:sz w:val="16"/>
                <w:szCs w:val="16"/>
              </w:rPr>
            </w:pPr>
            <w:r w:rsidRPr="001D6412">
              <w:rPr>
                <w:rFonts w:cstheme="minorHAnsi"/>
                <w:sz w:val="16"/>
                <w:szCs w:val="16"/>
              </w:rPr>
              <w:t>64.792</w:t>
            </w:r>
          </w:p>
        </w:tc>
        <w:tc>
          <w:tcPr>
            <w:tcW w:w="397" w:type="pct"/>
            <w:noWrap/>
            <w:vAlign w:val="center"/>
            <w:hideMark/>
          </w:tcPr>
          <w:p w:rsidR="001D6412" w:rsidRPr="001D6412" w:rsidRDefault="001D6412" w:rsidP="00907691">
            <w:pPr>
              <w:jc w:val="center"/>
              <w:rPr>
                <w:rFonts w:cstheme="minorHAnsi"/>
                <w:sz w:val="16"/>
                <w:szCs w:val="16"/>
              </w:rPr>
            </w:pPr>
            <w:r w:rsidRPr="001D6412">
              <w:rPr>
                <w:rFonts w:cstheme="minorHAnsi"/>
                <w:sz w:val="16"/>
                <w:szCs w:val="16"/>
              </w:rPr>
              <w:t>67.273</w:t>
            </w:r>
          </w:p>
        </w:tc>
        <w:tc>
          <w:tcPr>
            <w:tcW w:w="410" w:type="pct"/>
            <w:noWrap/>
            <w:vAlign w:val="center"/>
            <w:hideMark/>
          </w:tcPr>
          <w:p w:rsidR="001D6412" w:rsidRPr="001D6412" w:rsidRDefault="001D6412" w:rsidP="00907691">
            <w:pPr>
              <w:jc w:val="center"/>
              <w:rPr>
                <w:rFonts w:cstheme="minorHAnsi"/>
                <w:sz w:val="16"/>
                <w:szCs w:val="16"/>
              </w:rPr>
            </w:pPr>
            <w:r w:rsidRPr="001D6412">
              <w:rPr>
                <w:rFonts w:cstheme="minorHAnsi"/>
                <w:sz w:val="16"/>
                <w:szCs w:val="16"/>
              </w:rPr>
              <w:t>69.323</w:t>
            </w:r>
          </w:p>
        </w:tc>
        <w:tc>
          <w:tcPr>
            <w:tcW w:w="399" w:type="pct"/>
            <w:noWrap/>
            <w:vAlign w:val="center"/>
            <w:hideMark/>
          </w:tcPr>
          <w:p w:rsidR="001D6412" w:rsidRPr="001D6412" w:rsidRDefault="001D6412" w:rsidP="00907691">
            <w:pPr>
              <w:jc w:val="center"/>
              <w:rPr>
                <w:rFonts w:cstheme="minorHAnsi"/>
                <w:sz w:val="16"/>
                <w:szCs w:val="16"/>
              </w:rPr>
            </w:pPr>
            <w:r w:rsidRPr="001D6412">
              <w:rPr>
                <w:rFonts w:cstheme="minorHAnsi"/>
                <w:sz w:val="16"/>
                <w:szCs w:val="16"/>
              </w:rPr>
              <w:t>70.863</w:t>
            </w:r>
          </w:p>
        </w:tc>
        <w:tc>
          <w:tcPr>
            <w:tcW w:w="412" w:type="pct"/>
            <w:noWrap/>
            <w:vAlign w:val="center"/>
            <w:hideMark/>
          </w:tcPr>
          <w:p w:rsidR="001D6412" w:rsidRPr="001D6412" w:rsidRDefault="001D6412" w:rsidP="00907691">
            <w:pPr>
              <w:jc w:val="center"/>
              <w:rPr>
                <w:rFonts w:cstheme="minorHAnsi"/>
                <w:sz w:val="16"/>
                <w:szCs w:val="16"/>
              </w:rPr>
            </w:pPr>
            <w:r w:rsidRPr="001D6412">
              <w:rPr>
                <w:rFonts w:cstheme="minorHAnsi"/>
                <w:sz w:val="16"/>
                <w:szCs w:val="16"/>
              </w:rPr>
              <w:t>72.531</w:t>
            </w:r>
          </w:p>
        </w:tc>
        <w:tc>
          <w:tcPr>
            <w:tcW w:w="407" w:type="pct"/>
            <w:vAlign w:val="center"/>
            <w:hideMark/>
          </w:tcPr>
          <w:p w:rsidR="001D6412" w:rsidRPr="001D6412" w:rsidRDefault="001D6412" w:rsidP="00907691">
            <w:pPr>
              <w:jc w:val="center"/>
              <w:rPr>
                <w:rFonts w:cstheme="minorHAnsi"/>
                <w:b/>
                <w:bCs/>
                <w:sz w:val="16"/>
                <w:szCs w:val="16"/>
              </w:rPr>
            </w:pPr>
            <w:r w:rsidRPr="001D6412">
              <w:rPr>
                <w:rFonts w:cstheme="minorHAnsi"/>
                <w:b/>
                <w:bCs/>
                <w:sz w:val="16"/>
                <w:szCs w:val="16"/>
              </w:rPr>
              <w:t>2,4%</w:t>
            </w:r>
          </w:p>
        </w:tc>
      </w:tr>
      <w:tr w:rsidR="00907691" w:rsidRPr="001D6412" w:rsidTr="00907691">
        <w:trPr>
          <w:trHeight w:val="375"/>
          <w:jc w:val="center"/>
        </w:trPr>
        <w:tc>
          <w:tcPr>
            <w:tcW w:w="484" w:type="pct"/>
            <w:vAlign w:val="center"/>
            <w:hideMark/>
          </w:tcPr>
          <w:p w:rsidR="001D6412" w:rsidRPr="001D6412" w:rsidRDefault="001D6412" w:rsidP="00907691">
            <w:pPr>
              <w:rPr>
                <w:rFonts w:cstheme="minorHAnsi"/>
                <w:b/>
                <w:bCs/>
                <w:sz w:val="16"/>
                <w:szCs w:val="16"/>
              </w:rPr>
            </w:pPr>
            <w:r w:rsidRPr="001D6412">
              <w:rPr>
                <w:rFonts w:cstheme="minorHAnsi"/>
                <w:b/>
                <w:bCs/>
                <w:sz w:val="16"/>
                <w:szCs w:val="16"/>
              </w:rPr>
              <w:t>TOTALE SPESA FAMIGLIE</w:t>
            </w:r>
          </w:p>
        </w:tc>
        <w:tc>
          <w:tcPr>
            <w:tcW w:w="324" w:type="pct"/>
            <w:noWrap/>
            <w:vAlign w:val="center"/>
            <w:hideMark/>
          </w:tcPr>
          <w:p w:rsidR="001D6412" w:rsidRPr="001D6412" w:rsidRDefault="001D6412" w:rsidP="00907691">
            <w:pPr>
              <w:jc w:val="center"/>
              <w:rPr>
                <w:rFonts w:cstheme="minorHAnsi"/>
                <w:sz w:val="16"/>
                <w:szCs w:val="16"/>
              </w:rPr>
            </w:pPr>
            <w:r w:rsidRPr="001D6412">
              <w:rPr>
                <w:rFonts w:cstheme="minorHAnsi"/>
                <w:sz w:val="16"/>
                <w:szCs w:val="16"/>
              </w:rPr>
              <w:t>978.916</w:t>
            </w:r>
          </w:p>
        </w:tc>
        <w:tc>
          <w:tcPr>
            <w:tcW w:w="324" w:type="pct"/>
            <w:noWrap/>
            <w:vAlign w:val="center"/>
            <w:hideMark/>
          </w:tcPr>
          <w:p w:rsidR="001D6412" w:rsidRPr="001D6412" w:rsidRDefault="001D6412" w:rsidP="00907691">
            <w:pPr>
              <w:jc w:val="center"/>
              <w:rPr>
                <w:rFonts w:cstheme="minorHAnsi"/>
                <w:sz w:val="16"/>
                <w:szCs w:val="16"/>
              </w:rPr>
            </w:pPr>
            <w:r w:rsidRPr="001D6412">
              <w:rPr>
                <w:rFonts w:cstheme="minorHAnsi"/>
                <w:sz w:val="16"/>
                <w:szCs w:val="16"/>
              </w:rPr>
              <w:t>957.938</w:t>
            </w:r>
          </w:p>
        </w:tc>
        <w:tc>
          <w:tcPr>
            <w:tcW w:w="366" w:type="pct"/>
            <w:noWrap/>
            <w:vAlign w:val="center"/>
            <w:hideMark/>
          </w:tcPr>
          <w:p w:rsidR="001D6412" w:rsidRPr="001D6412" w:rsidRDefault="001D6412" w:rsidP="00907691">
            <w:pPr>
              <w:jc w:val="center"/>
              <w:rPr>
                <w:rFonts w:cstheme="minorHAnsi"/>
                <w:sz w:val="16"/>
                <w:szCs w:val="16"/>
              </w:rPr>
            </w:pPr>
            <w:r w:rsidRPr="001D6412">
              <w:rPr>
                <w:rFonts w:cstheme="minorHAnsi"/>
                <w:sz w:val="16"/>
                <w:szCs w:val="16"/>
              </w:rPr>
              <w:t>983.043</w:t>
            </w:r>
          </w:p>
        </w:tc>
        <w:tc>
          <w:tcPr>
            <w:tcW w:w="377" w:type="pct"/>
            <w:noWrap/>
            <w:vAlign w:val="center"/>
            <w:hideMark/>
          </w:tcPr>
          <w:p w:rsidR="001D6412" w:rsidRPr="001D6412" w:rsidRDefault="001D6412" w:rsidP="00907691">
            <w:pPr>
              <w:jc w:val="center"/>
              <w:rPr>
                <w:rFonts w:cstheme="minorHAnsi"/>
                <w:sz w:val="16"/>
                <w:szCs w:val="16"/>
              </w:rPr>
            </w:pPr>
            <w:r w:rsidRPr="001D6412">
              <w:rPr>
                <w:rFonts w:cstheme="minorHAnsi"/>
                <w:sz w:val="16"/>
                <w:szCs w:val="16"/>
              </w:rPr>
              <w:t>1.012.781</w:t>
            </w:r>
          </w:p>
        </w:tc>
        <w:tc>
          <w:tcPr>
            <w:tcW w:w="394" w:type="pct"/>
            <w:noWrap/>
            <w:vAlign w:val="center"/>
            <w:hideMark/>
          </w:tcPr>
          <w:p w:rsidR="001D6412" w:rsidRPr="001D6412" w:rsidRDefault="001D6412" w:rsidP="00907691">
            <w:pPr>
              <w:jc w:val="center"/>
              <w:rPr>
                <w:rFonts w:cstheme="minorHAnsi"/>
                <w:sz w:val="16"/>
                <w:szCs w:val="16"/>
              </w:rPr>
            </w:pPr>
            <w:r w:rsidRPr="001D6412">
              <w:rPr>
                <w:rFonts w:cstheme="minorHAnsi"/>
                <w:sz w:val="16"/>
                <w:szCs w:val="16"/>
              </w:rPr>
              <w:t>1.001.015</w:t>
            </w:r>
          </w:p>
        </w:tc>
        <w:tc>
          <w:tcPr>
            <w:tcW w:w="383" w:type="pct"/>
            <w:noWrap/>
            <w:vAlign w:val="center"/>
            <w:hideMark/>
          </w:tcPr>
          <w:p w:rsidR="001D6412" w:rsidRPr="001D6412" w:rsidRDefault="001D6412" w:rsidP="00907691">
            <w:pPr>
              <w:jc w:val="center"/>
              <w:rPr>
                <w:rFonts w:cstheme="minorHAnsi"/>
                <w:sz w:val="16"/>
                <w:szCs w:val="16"/>
              </w:rPr>
            </w:pPr>
            <w:r w:rsidRPr="001D6412">
              <w:rPr>
                <w:rFonts w:cstheme="minorHAnsi"/>
                <w:sz w:val="16"/>
                <w:szCs w:val="16"/>
              </w:rPr>
              <w:t>989.235</w:t>
            </w:r>
          </w:p>
        </w:tc>
        <w:tc>
          <w:tcPr>
            <w:tcW w:w="324" w:type="pct"/>
            <w:noWrap/>
            <w:vAlign w:val="center"/>
            <w:hideMark/>
          </w:tcPr>
          <w:p w:rsidR="001D6412" w:rsidRPr="001D6412" w:rsidRDefault="001D6412" w:rsidP="00907691">
            <w:pPr>
              <w:jc w:val="center"/>
              <w:rPr>
                <w:rFonts w:cstheme="minorHAnsi"/>
                <w:sz w:val="16"/>
                <w:szCs w:val="16"/>
              </w:rPr>
            </w:pPr>
            <w:r w:rsidRPr="001D6412">
              <w:rPr>
                <w:rFonts w:cstheme="minorHAnsi"/>
                <w:sz w:val="16"/>
                <w:szCs w:val="16"/>
              </w:rPr>
              <w:t>994.358</w:t>
            </w:r>
          </w:p>
        </w:tc>
        <w:tc>
          <w:tcPr>
            <w:tcW w:w="397" w:type="pct"/>
            <w:noWrap/>
            <w:vAlign w:val="center"/>
            <w:hideMark/>
          </w:tcPr>
          <w:p w:rsidR="001D6412" w:rsidRPr="001D6412" w:rsidRDefault="001D6412" w:rsidP="00907691">
            <w:pPr>
              <w:jc w:val="center"/>
              <w:rPr>
                <w:rFonts w:cstheme="minorHAnsi"/>
                <w:sz w:val="16"/>
                <w:szCs w:val="16"/>
              </w:rPr>
            </w:pPr>
            <w:r w:rsidRPr="001D6412">
              <w:rPr>
                <w:rFonts w:cstheme="minorHAnsi"/>
                <w:sz w:val="16"/>
                <w:szCs w:val="16"/>
              </w:rPr>
              <w:t>1.015.428</w:t>
            </w:r>
          </w:p>
        </w:tc>
        <w:tc>
          <w:tcPr>
            <w:tcW w:w="410" w:type="pct"/>
            <w:noWrap/>
            <w:vAlign w:val="center"/>
            <w:hideMark/>
          </w:tcPr>
          <w:p w:rsidR="001D6412" w:rsidRPr="001D6412" w:rsidRDefault="001D6412" w:rsidP="00907691">
            <w:pPr>
              <w:jc w:val="center"/>
              <w:rPr>
                <w:rFonts w:cstheme="minorHAnsi"/>
                <w:sz w:val="16"/>
                <w:szCs w:val="16"/>
              </w:rPr>
            </w:pPr>
            <w:r w:rsidRPr="001D6412">
              <w:rPr>
                <w:rFonts w:cstheme="minorHAnsi"/>
                <w:sz w:val="16"/>
                <w:szCs w:val="16"/>
              </w:rPr>
              <w:t>1.029.263</w:t>
            </w:r>
          </w:p>
        </w:tc>
        <w:tc>
          <w:tcPr>
            <w:tcW w:w="399" w:type="pct"/>
            <w:noWrap/>
            <w:vAlign w:val="center"/>
            <w:hideMark/>
          </w:tcPr>
          <w:p w:rsidR="001D6412" w:rsidRPr="001D6412" w:rsidRDefault="001D6412" w:rsidP="00907691">
            <w:pPr>
              <w:jc w:val="center"/>
              <w:rPr>
                <w:rFonts w:cstheme="minorHAnsi"/>
                <w:sz w:val="16"/>
                <w:szCs w:val="16"/>
              </w:rPr>
            </w:pPr>
            <w:r w:rsidRPr="001D6412">
              <w:rPr>
                <w:rFonts w:cstheme="minorHAnsi"/>
                <w:sz w:val="16"/>
                <w:szCs w:val="16"/>
              </w:rPr>
              <w:t>1.056.887</w:t>
            </w:r>
          </w:p>
        </w:tc>
        <w:tc>
          <w:tcPr>
            <w:tcW w:w="412" w:type="pct"/>
            <w:noWrap/>
            <w:vAlign w:val="center"/>
            <w:hideMark/>
          </w:tcPr>
          <w:p w:rsidR="001D6412" w:rsidRPr="001D6412" w:rsidRDefault="001D6412" w:rsidP="00907691">
            <w:pPr>
              <w:jc w:val="center"/>
              <w:rPr>
                <w:rFonts w:cstheme="minorHAnsi"/>
                <w:sz w:val="16"/>
                <w:szCs w:val="16"/>
              </w:rPr>
            </w:pPr>
            <w:r w:rsidRPr="001D6412">
              <w:rPr>
                <w:rFonts w:cstheme="minorHAnsi"/>
                <w:sz w:val="16"/>
                <w:szCs w:val="16"/>
              </w:rPr>
              <w:t>1.076.760</w:t>
            </w:r>
          </w:p>
        </w:tc>
        <w:tc>
          <w:tcPr>
            <w:tcW w:w="407" w:type="pct"/>
            <w:vAlign w:val="center"/>
            <w:hideMark/>
          </w:tcPr>
          <w:p w:rsidR="001D6412" w:rsidRPr="001D6412" w:rsidRDefault="001D6412" w:rsidP="00907691">
            <w:pPr>
              <w:jc w:val="center"/>
              <w:rPr>
                <w:rFonts w:cstheme="minorHAnsi"/>
                <w:b/>
                <w:bCs/>
                <w:sz w:val="16"/>
                <w:szCs w:val="16"/>
              </w:rPr>
            </w:pPr>
            <w:r w:rsidRPr="001D6412">
              <w:rPr>
                <w:rFonts w:cstheme="minorHAnsi"/>
                <w:b/>
                <w:bCs/>
                <w:sz w:val="16"/>
                <w:szCs w:val="16"/>
              </w:rPr>
              <w:t>1,9%</w:t>
            </w:r>
          </w:p>
        </w:tc>
      </w:tr>
      <w:tr w:rsidR="00907691" w:rsidRPr="001D6412" w:rsidTr="00907691">
        <w:trPr>
          <w:trHeight w:val="816"/>
          <w:jc w:val="center"/>
        </w:trPr>
        <w:tc>
          <w:tcPr>
            <w:tcW w:w="484" w:type="pct"/>
            <w:vAlign w:val="center"/>
            <w:hideMark/>
          </w:tcPr>
          <w:p w:rsidR="001D6412" w:rsidRPr="001D6412" w:rsidRDefault="00907691" w:rsidP="00907691">
            <w:pPr>
              <w:rPr>
                <w:rFonts w:cstheme="minorHAnsi"/>
                <w:b/>
                <w:bCs/>
                <w:sz w:val="16"/>
                <w:szCs w:val="16"/>
              </w:rPr>
            </w:pPr>
            <w:r>
              <w:rPr>
                <w:rFonts w:cstheme="minorHAnsi"/>
                <w:b/>
                <w:bCs/>
                <w:sz w:val="16"/>
                <w:szCs w:val="16"/>
              </w:rPr>
              <w:t xml:space="preserve">INC. </w:t>
            </w:r>
            <w:r w:rsidR="001D6412" w:rsidRPr="001D6412">
              <w:rPr>
                <w:rFonts w:cstheme="minorHAnsi"/>
                <w:b/>
                <w:bCs/>
                <w:sz w:val="16"/>
                <w:szCs w:val="16"/>
              </w:rPr>
              <w:t xml:space="preserve">SPESA IN CULTURA SU </w:t>
            </w:r>
            <w:r w:rsidRPr="001D6412">
              <w:rPr>
                <w:rFonts w:cstheme="minorHAnsi"/>
                <w:b/>
                <w:bCs/>
                <w:sz w:val="16"/>
                <w:szCs w:val="16"/>
              </w:rPr>
              <w:t xml:space="preserve">TOTALE </w:t>
            </w:r>
            <w:r w:rsidR="001D6412" w:rsidRPr="001D6412">
              <w:rPr>
                <w:rFonts w:cstheme="minorHAnsi"/>
                <w:b/>
                <w:bCs/>
                <w:sz w:val="16"/>
                <w:szCs w:val="16"/>
              </w:rPr>
              <w:t xml:space="preserve">SPESA </w:t>
            </w:r>
          </w:p>
        </w:tc>
        <w:tc>
          <w:tcPr>
            <w:tcW w:w="324" w:type="pct"/>
            <w:vAlign w:val="center"/>
            <w:hideMark/>
          </w:tcPr>
          <w:p w:rsidR="001D6412" w:rsidRPr="001D6412" w:rsidRDefault="001D6412" w:rsidP="00907691">
            <w:pPr>
              <w:jc w:val="center"/>
              <w:rPr>
                <w:rFonts w:cstheme="minorHAnsi"/>
                <w:sz w:val="16"/>
                <w:szCs w:val="16"/>
              </w:rPr>
            </w:pPr>
            <w:r w:rsidRPr="001D6412">
              <w:rPr>
                <w:rFonts w:cstheme="minorHAnsi"/>
                <w:sz w:val="16"/>
                <w:szCs w:val="16"/>
              </w:rPr>
              <w:t>6,8%</w:t>
            </w:r>
          </w:p>
        </w:tc>
        <w:tc>
          <w:tcPr>
            <w:tcW w:w="324" w:type="pct"/>
            <w:vAlign w:val="center"/>
            <w:hideMark/>
          </w:tcPr>
          <w:p w:rsidR="001D6412" w:rsidRPr="001D6412" w:rsidRDefault="001D6412" w:rsidP="00907691">
            <w:pPr>
              <w:jc w:val="center"/>
              <w:rPr>
                <w:rFonts w:cstheme="minorHAnsi"/>
                <w:sz w:val="16"/>
                <w:szCs w:val="16"/>
              </w:rPr>
            </w:pPr>
            <w:r w:rsidRPr="001D6412">
              <w:rPr>
                <w:rFonts w:cstheme="minorHAnsi"/>
                <w:sz w:val="16"/>
                <w:szCs w:val="16"/>
              </w:rPr>
              <w:t>7,0%</w:t>
            </w:r>
          </w:p>
        </w:tc>
        <w:tc>
          <w:tcPr>
            <w:tcW w:w="366" w:type="pct"/>
            <w:vAlign w:val="center"/>
            <w:hideMark/>
          </w:tcPr>
          <w:p w:rsidR="001D6412" w:rsidRPr="001D6412" w:rsidRDefault="001D6412" w:rsidP="00907691">
            <w:pPr>
              <w:jc w:val="center"/>
              <w:rPr>
                <w:rFonts w:cstheme="minorHAnsi"/>
                <w:sz w:val="16"/>
                <w:szCs w:val="16"/>
              </w:rPr>
            </w:pPr>
            <w:r w:rsidRPr="001D6412">
              <w:rPr>
                <w:rFonts w:cstheme="minorHAnsi"/>
                <w:sz w:val="16"/>
                <w:szCs w:val="16"/>
              </w:rPr>
              <w:t>7,2%</w:t>
            </w:r>
          </w:p>
        </w:tc>
        <w:tc>
          <w:tcPr>
            <w:tcW w:w="377" w:type="pct"/>
            <w:vAlign w:val="center"/>
            <w:hideMark/>
          </w:tcPr>
          <w:p w:rsidR="001D6412" w:rsidRPr="001D6412" w:rsidRDefault="001D6412" w:rsidP="00907691">
            <w:pPr>
              <w:jc w:val="center"/>
              <w:rPr>
                <w:rFonts w:cstheme="minorHAnsi"/>
                <w:sz w:val="16"/>
                <w:szCs w:val="16"/>
              </w:rPr>
            </w:pPr>
            <w:r w:rsidRPr="001D6412">
              <w:rPr>
                <w:rFonts w:cstheme="minorHAnsi"/>
                <w:sz w:val="16"/>
                <w:szCs w:val="16"/>
              </w:rPr>
              <w:t>7,1%</w:t>
            </w:r>
          </w:p>
        </w:tc>
        <w:tc>
          <w:tcPr>
            <w:tcW w:w="394" w:type="pct"/>
            <w:vAlign w:val="center"/>
            <w:hideMark/>
          </w:tcPr>
          <w:p w:rsidR="001D6412" w:rsidRPr="001D6412" w:rsidRDefault="001D6412" w:rsidP="00907691">
            <w:pPr>
              <w:jc w:val="center"/>
              <w:rPr>
                <w:rFonts w:cstheme="minorHAnsi"/>
                <w:sz w:val="16"/>
                <w:szCs w:val="16"/>
              </w:rPr>
            </w:pPr>
            <w:r w:rsidRPr="001D6412">
              <w:rPr>
                <w:rFonts w:cstheme="minorHAnsi"/>
                <w:sz w:val="16"/>
                <w:szCs w:val="16"/>
              </w:rPr>
              <w:t>6,8%</w:t>
            </w:r>
          </w:p>
        </w:tc>
        <w:tc>
          <w:tcPr>
            <w:tcW w:w="383" w:type="pct"/>
            <w:vAlign w:val="center"/>
            <w:hideMark/>
          </w:tcPr>
          <w:p w:rsidR="001D6412" w:rsidRPr="001D6412" w:rsidRDefault="001D6412" w:rsidP="00907691">
            <w:pPr>
              <w:jc w:val="center"/>
              <w:rPr>
                <w:rFonts w:cstheme="minorHAnsi"/>
                <w:sz w:val="16"/>
                <w:szCs w:val="16"/>
              </w:rPr>
            </w:pPr>
            <w:r w:rsidRPr="001D6412">
              <w:rPr>
                <w:rFonts w:cstheme="minorHAnsi"/>
                <w:sz w:val="16"/>
                <w:szCs w:val="16"/>
              </w:rPr>
              <w:t>6,5%</w:t>
            </w:r>
          </w:p>
        </w:tc>
        <w:tc>
          <w:tcPr>
            <w:tcW w:w="324" w:type="pct"/>
            <w:vAlign w:val="center"/>
            <w:hideMark/>
          </w:tcPr>
          <w:p w:rsidR="001D6412" w:rsidRPr="001D6412" w:rsidRDefault="001D6412" w:rsidP="00907691">
            <w:pPr>
              <w:jc w:val="center"/>
              <w:rPr>
                <w:rFonts w:cstheme="minorHAnsi"/>
                <w:sz w:val="16"/>
                <w:szCs w:val="16"/>
              </w:rPr>
            </w:pPr>
            <w:r w:rsidRPr="001D6412">
              <w:rPr>
                <w:rFonts w:cstheme="minorHAnsi"/>
                <w:sz w:val="16"/>
                <w:szCs w:val="16"/>
              </w:rPr>
              <w:t>6,5%</w:t>
            </w:r>
          </w:p>
        </w:tc>
        <w:tc>
          <w:tcPr>
            <w:tcW w:w="397" w:type="pct"/>
            <w:vAlign w:val="center"/>
            <w:hideMark/>
          </w:tcPr>
          <w:p w:rsidR="001D6412" w:rsidRPr="001D6412" w:rsidRDefault="001D6412" w:rsidP="00907691">
            <w:pPr>
              <w:jc w:val="center"/>
              <w:rPr>
                <w:rFonts w:cstheme="minorHAnsi"/>
                <w:sz w:val="16"/>
                <w:szCs w:val="16"/>
              </w:rPr>
            </w:pPr>
            <w:r w:rsidRPr="001D6412">
              <w:rPr>
                <w:rFonts w:cstheme="minorHAnsi"/>
                <w:sz w:val="16"/>
                <w:szCs w:val="16"/>
              </w:rPr>
              <w:t>6,6%</w:t>
            </w:r>
          </w:p>
        </w:tc>
        <w:tc>
          <w:tcPr>
            <w:tcW w:w="410" w:type="pct"/>
            <w:vAlign w:val="center"/>
            <w:hideMark/>
          </w:tcPr>
          <w:p w:rsidR="001D6412" w:rsidRPr="001D6412" w:rsidRDefault="001D6412" w:rsidP="00907691">
            <w:pPr>
              <w:jc w:val="center"/>
              <w:rPr>
                <w:rFonts w:cstheme="minorHAnsi"/>
                <w:sz w:val="16"/>
                <w:szCs w:val="16"/>
              </w:rPr>
            </w:pPr>
            <w:r w:rsidRPr="001D6412">
              <w:rPr>
                <w:rFonts w:cstheme="minorHAnsi"/>
                <w:sz w:val="16"/>
                <w:szCs w:val="16"/>
              </w:rPr>
              <w:t>6,7%</w:t>
            </w:r>
          </w:p>
        </w:tc>
        <w:tc>
          <w:tcPr>
            <w:tcW w:w="399" w:type="pct"/>
            <w:vAlign w:val="center"/>
            <w:hideMark/>
          </w:tcPr>
          <w:p w:rsidR="001D6412" w:rsidRPr="001D6412" w:rsidRDefault="001D6412" w:rsidP="00907691">
            <w:pPr>
              <w:jc w:val="center"/>
              <w:rPr>
                <w:rFonts w:cstheme="minorHAnsi"/>
                <w:sz w:val="16"/>
                <w:szCs w:val="16"/>
              </w:rPr>
            </w:pPr>
            <w:r w:rsidRPr="001D6412">
              <w:rPr>
                <w:rFonts w:cstheme="minorHAnsi"/>
                <w:sz w:val="16"/>
                <w:szCs w:val="16"/>
              </w:rPr>
              <w:t>6,7%</w:t>
            </w:r>
          </w:p>
        </w:tc>
        <w:tc>
          <w:tcPr>
            <w:tcW w:w="412" w:type="pct"/>
            <w:vAlign w:val="center"/>
            <w:hideMark/>
          </w:tcPr>
          <w:p w:rsidR="001D6412" w:rsidRPr="001D6412" w:rsidRDefault="001D6412" w:rsidP="00907691">
            <w:pPr>
              <w:jc w:val="center"/>
              <w:rPr>
                <w:rFonts w:cstheme="minorHAnsi"/>
                <w:sz w:val="16"/>
                <w:szCs w:val="16"/>
              </w:rPr>
            </w:pPr>
            <w:r w:rsidRPr="001D6412">
              <w:rPr>
                <w:rFonts w:cstheme="minorHAnsi"/>
                <w:sz w:val="16"/>
                <w:szCs w:val="16"/>
              </w:rPr>
              <w:t>6,7%</w:t>
            </w:r>
          </w:p>
        </w:tc>
        <w:tc>
          <w:tcPr>
            <w:tcW w:w="407" w:type="pct"/>
            <w:noWrap/>
            <w:vAlign w:val="center"/>
            <w:hideMark/>
          </w:tcPr>
          <w:p w:rsidR="001D6412" w:rsidRPr="001D6412" w:rsidRDefault="001D6412" w:rsidP="00907691">
            <w:pPr>
              <w:jc w:val="center"/>
              <w:rPr>
                <w:rFonts w:cstheme="minorHAnsi"/>
                <w:sz w:val="16"/>
                <w:szCs w:val="16"/>
              </w:rPr>
            </w:pPr>
          </w:p>
        </w:tc>
      </w:tr>
    </w:tbl>
    <w:p w:rsidR="00C6147A" w:rsidRPr="000A3130" w:rsidRDefault="000A3130" w:rsidP="00C6147A">
      <w:pPr>
        <w:jc w:val="both"/>
        <w:rPr>
          <w:sz w:val="18"/>
          <w:szCs w:val="18"/>
        </w:rPr>
      </w:pPr>
      <w:r w:rsidRPr="000A3130">
        <w:rPr>
          <w:sz w:val="18"/>
          <w:szCs w:val="18"/>
        </w:rPr>
        <w:t>Fonte: elaborazioni Federculture su dati Istat</w:t>
      </w:r>
    </w:p>
    <w:p w:rsidR="000373D1" w:rsidRDefault="00D51F2E" w:rsidP="000373D1">
      <w:pPr>
        <w:spacing w:line="276" w:lineRule="auto"/>
        <w:jc w:val="both"/>
        <w:rPr>
          <w:sz w:val="24"/>
          <w:szCs w:val="24"/>
        </w:rPr>
      </w:pPr>
      <w:r>
        <w:rPr>
          <w:sz w:val="24"/>
          <w:szCs w:val="24"/>
        </w:rPr>
        <w:t>Nella</w:t>
      </w:r>
      <w:r w:rsidR="00907691">
        <w:rPr>
          <w:sz w:val="24"/>
          <w:szCs w:val="24"/>
        </w:rPr>
        <w:t xml:space="preserve"> composizione interna della </w:t>
      </w:r>
      <w:r w:rsidR="00907691" w:rsidRPr="00907691">
        <w:rPr>
          <w:sz w:val="24"/>
          <w:szCs w:val="24"/>
        </w:rPr>
        <w:t xml:space="preserve">voce di spesa </w:t>
      </w:r>
      <w:r w:rsidR="00907691">
        <w:rPr>
          <w:sz w:val="24"/>
          <w:szCs w:val="24"/>
        </w:rPr>
        <w:t>“</w:t>
      </w:r>
      <w:r w:rsidR="00907691" w:rsidRPr="00907691">
        <w:rPr>
          <w:sz w:val="24"/>
          <w:szCs w:val="24"/>
        </w:rPr>
        <w:t>ricreazione e cultura</w:t>
      </w:r>
      <w:r w:rsidR="00907691">
        <w:rPr>
          <w:sz w:val="24"/>
          <w:szCs w:val="24"/>
        </w:rPr>
        <w:t>”</w:t>
      </w:r>
      <w:r w:rsidR="00907691" w:rsidRPr="00907691">
        <w:rPr>
          <w:sz w:val="24"/>
          <w:szCs w:val="24"/>
        </w:rPr>
        <w:t>,</w:t>
      </w:r>
      <w:r w:rsidR="00907691">
        <w:rPr>
          <w:sz w:val="24"/>
          <w:szCs w:val="24"/>
        </w:rPr>
        <w:t xml:space="preserve"> rimasta sostanzialmente invariata</w:t>
      </w:r>
      <w:r w:rsidR="00845427">
        <w:rPr>
          <w:sz w:val="24"/>
          <w:szCs w:val="24"/>
        </w:rPr>
        <w:t>,</w:t>
      </w:r>
      <w:r w:rsidR="00907691">
        <w:rPr>
          <w:sz w:val="24"/>
          <w:szCs w:val="24"/>
        </w:rPr>
        <w:t xml:space="preserve"> </w:t>
      </w:r>
      <w:r>
        <w:rPr>
          <w:sz w:val="24"/>
          <w:szCs w:val="24"/>
        </w:rPr>
        <w:t xml:space="preserve">si </w:t>
      </w:r>
      <w:r w:rsidR="00845427">
        <w:rPr>
          <w:sz w:val="24"/>
          <w:szCs w:val="24"/>
        </w:rPr>
        <w:t>vede</w:t>
      </w:r>
      <w:r w:rsidR="00907691" w:rsidRPr="00907691">
        <w:rPr>
          <w:sz w:val="24"/>
          <w:szCs w:val="24"/>
        </w:rPr>
        <w:t xml:space="preserve"> che quella destinata a </w:t>
      </w:r>
      <w:r w:rsidR="00907691" w:rsidRPr="00845427">
        <w:rPr>
          <w:b/>
          <w:sz w:val="24"/>
          <w:szCs w:val="24"/>
        </w:rPr>
        <w:t>servizi culturali e ricreativi</w:t>
      </w:r>
      <w:r w:rsidR="00907691" w:rsidRPr="00907691">
        <w:rPr>
          <w:sz w:val="24"/>
          <w:szCs w:val="24"/>
        </w:rPr>
        <w:t xml:space="preserve">, pari a </w:t>
      </w:r>
      <w:r w:rsidR="00907691" w:rsidRPr="00845427">
        <w:rPr>
          <w:b/>
          <w:sz w:val="24"/>
          <w:szCs w:val="24"/>
        </w:rPr>
        <w:t>30,3 miliardi</w:t>
      </w:r>
      <w:r w:rsidR="00907691" w:rsidRPr="00907691">
        <w:rPr>
          <w:sz w:val="24"/>
          <w:szCs w:val="24"/>
        </w:rPr>
        <w:t xml:space="preserve">, ne rappresenta sempre la porzione maggiore, </w:t>
      </w:r>
      <w:r w:rsidR="00907691" w:rsidRPr="00845427">
        <w:rPr>
          <w:b/>
          <w:sz w:val="24"/>
          <w:szCs w:val="24"/>
        </w:rPr>
        <w:t>42%</w:t>
      </w:r>
      <w:r w:rsidR="00907691" w:rsidRPr="00907691">
        <w:rPr>
          <w:sz w:val="24"/>
          <w:szCs w:val="24"/>
        </w:rPr>
        <w:t xml:space="preserve">, ma cresce </w:t>
      </w:r>
      <w:r w:rsidR="00845427">
        <w:rPr>
          <w:sz w:val="24"/>
          <w:szCs w:val="24"/>
        </w:rPr>
        <w:t xml:space="preserve">nel 2018 </w:t>
      </w:r>
      <w:r w:rsidR="00907691" w:rsidRPr="00907691">
        <w:rPr>
          <w:sz w:val="24"/>
          <w:szCs w:val="24"/>
        </w:rPr>
        <w:t xml:space="preserve">meno delle altre componenti, l'1,4%. E' interessante rilevare che nel 2018 tra le varie voci che compongono la spesa culturale quella che </w:t>
      </w:r>
      <w:r w:rsidR="00845427">
        <w:rPr>
          <w:sz w:val="24"/>
          <w:szCs w:val="24"/>
        </w:rPr>
        <w:t xml:space="preserve">aumenta maggiormente è la </w:t>
      </w:r>
      <w:r w:rsidR="00845427" w:rsidRPr="00845427">
        <w:rPr>
          <w:b/>
          <w:sz w:val="24"/>
          <w:szCs w:val="24"/>
        </w:rPr>
        <w:t>spesa per i</w:t>
      </w:r>
      <w:r w:rsidR="00907691" w:rsidRPr="00845427">
        <w:rPr>
          <w:b/>
          <w:sz w:val="24"/>
          <w:szCs w:val="24"/>
        </w:rPr>
        <w:t xml:space="preserve"> libri, +5%</w:t>
      </w:r>
      <w:r w:rsidR="00907691" w:rsidRPr="00907691">
        <w:rPr>
          <w:sz w:val="24"/>
          <w:szCs w:val="24"/>
        </w:rPr>
        <w:t>.</w:t>
      </w:r>
    </w:p>
    <w:p w:rsidR="009B0D25" w:rsidRDefault="0061230C" w:rsidP="00EC0B23">
      <w:pPr>
        <w:spacing w:after="0" w:line="276" w:lineRule="auto"/>
        <w:jc w:val="both"/>
        <w:rPr>
          <w:sz w:val="24"/>
        </w:rPr>
      </w:pPr>
      <w:r>
        <w:rPr>
          <w:sz w:val="24"/>
        </w:rPr>
        <w:t>A</w:t>
      </w:r>
      <w:r w:rsidR="002F58D6" w:rsidRPr="002F58D6">
        <w:rPr>
          <w:sz w:val="24"/>
        </w:rPr>
        <w:t xml:space="preserve"> livello di </w:t>
      </w:r>
      <w:r w:rsidR="002F58D6" w:rsidRPr="002F58D6">
        <w:rPr>
          <w:b/>
          <w:sz w:val="24"/>
        </w:rPr>
        <w:t>spesa media mensile familiare</w:t>
      </w:r>
      <w:r>
        <w:rPr>
          <w:b/>
          <w:sz w:val="24"/>
        </w:rPr>
        <w:t xml:space="preserve"> </w:t>
      </w:r>
      <w:r w:rsidR="002F58D6" w:rsidRPr="002F58D6">
        <w:rPr>
          <w:sz w:val="24"/>
        </w:rPr>
        <w:t xml:space="preserve">il dato </w:t>
      </w:r>
      <w:r w:rsidR="002F58D6">
        <w:rPr>
          <w:sz w:val="24"/>
        </w:rPr>
        <w:t xml:space="preserve">medio nazionale </w:t>
      </w:r>
      <w:r w:rsidR="002F58D6" w:rsidRPr="002F58D6">
        <w:rPr>
          <w:sz w:val="24"/>
        </w:rPr>
        <w:t xml:space="preserve">è pari a </w:t>
      </w:r>
      <w:r w:rsidR="002F58D6" w:rsidRPr="002F58D6">
        <w:rPr>
          <w:b/>
          <w:sz w:val="24"/>
        </w:rPr>
        <w:t>127,7 euro</w:t>
      </w:r>
      <w:r w:rsidR="002F58D6">
        <w:rPr>
          <w:sz w:val="24"/>
        </w:rPr>
        <w:t>. Ma, come già rilevato in passato</w:t>
      </w:r>
      <w:r w:rsidR="002F58D6" w:rsidRPr="002F58D6">
        <w:rPr>
          <w:sz w:val="24"/>
        </w:rPr>
        <w:t xml:space="preserve">, sono molto forti le differenze territoriali: </w:t>
      </w:r>
      <w:r w:rsidR="002F58D6" w:rsidRPr="002F58D6">
        <w:rPr>
          <w:b/>
          <w:sz w:val="24"/>
        </w:rPr>
        <w:t xml:space="preserve">nelle regioni settentrionali la spesa familiare media mensile in </w:t>
      </w:r>
      <w:r w:rsidR="002F58D6">
        <w:rPr>
          <w:b/>
          <w:sz w:val="24"/>
        </w:rPr>
        <w:t xml:space="preserve">ricreazione spettacoli e </w:t>
      </w:r>
      <w:r w:rsidR="002F58D6" w:rsidRPr="002F58D6">
        <w:rPr>
          <w:b/>
          <w:sz w:val="24"/>
        </w:rPr>
        <w:t>cultura supera i 150 euro</w:t>
      </w:r>
      <w:r w:rsidR="002F58D6" w:rsidRPr="002F58D6">
        <w:rPr>
          <w:sz w:val="24"/>
        </w:rPr>
        <w:t xml:space="preserve">, mentre </w:t>
      </w:r>
      <w:r w:rsidR="002F58D6">
        <w:rPr>
          <w:sz w:val="24"/>
        </w:rPr>
        <w:t xml:space="preserve">considerando </w:t>
      </w:r>
      <w:r w:rsidR="002F58D6" w:rsidRPr="002F58D6">
        <w:rPr>
          <w:b/>
          <w:sz w:val="24"/>
        </w:rPr>
        <w:t xml:space="preserve">Sud e Isole lo stesso dato </w:t>
      </w:r>
      <w:r w:rsidR="002F58D6">
        <w:rPr>
          <w:b/>
          <w:sz w:val="24"/>
        </w:rPr>
        <w:t>scende a 80 euro circa</w:t>
      </w:r>
      <w:r w:rsidR="002F58D6" w:rsidRPr="002F58D6">
        <w:rPr>
          <w:sz w:val="24"/>
        </w:rPr>
        <w:t xml:space="preserve">. Nello specifico, il Trentino Alto Adige </w:t>
      </w:r>
      <w:r w:rsidR="002F58D6">
        <w:rPr>
          <w:sz w:val="24"/>
        </w:rPr>
        <w:t xml:space="preserve">(€ 178,8) </w:t>
      </w:r>
      <w:r w:rsidR="002F58D6" w:rsidRPr="002F58D6">
        <w:rPr>
          <w:sz w:val="24"/>
        </w:rPr>
        <w:t xml:space="preserve">e la Valle d'Aosta </w:t>
      </w:r>
      <w:r w:rsidR="002F58D6">
        <w:rPr>
          <w:sz w:val="24"/>
        </w:rPr>
        <w:t xml:space="preserve">(€ 167) </w:t>
      </w:r>
      <w:r w:rsidR="002F58D6" w:rsidRPr="002F58D6">
        <w:rPr>
          <w:sz w:val="24"/>
        </w:rPr>
        <w:t>sono le regioni in cui si spende di più in cultura mentre la Calabria</w:t>
      </w:r>
      <w:r w:rsidR="002F58D6">
        <w:rPr>
          <w:sz w:val="24"/>
        </w:rPr>
        <w:t xml:space="preserve"> (€ 64,3)</w:t>
      </w:r>
      <w:r w:rsidR="002F58D6" w:rsidRPr="002F58D6">
        <w:rPr>
          <w:sz w:val="24"/>
        </w:rPr>
        <w:t xml:space="preserve"> e la Basilicata </w:t>
      </w:r>
      <w:r w:rsidR="002F58D6">
        <w:rPr>
          <w:sz w:val="24"/>
        </w:rPr>
        <w:t xml:space="preserve">(€ 67) </w:t>
      </w:r>
      <w:r w:rsidR="002F58D6" w:rsidRPr="002F58D6">
        <w:rPr>
          <w:sz w:val="24"/>
        </w:rPr>
        <w:t>quelle in cui si spende di meno.</w:t>
      </w:r>
    </w:p>
    <w:p w:rsidR="00EC0B23" w:rsidRDefault="00FB5C1D" w:rsidP="00FB5C1D">
      <w:pPr>
        <w:spacing w:after="0" w:line="276" w:lineRule="auto"/>
        <w:jc w:val="both"/>
        <w:rPr>
          <w:b/>
          <w:sz w:val="24"/>
        </w:rPr>
      </w:pPr>
      <w:r>
        <w:rPr>
          <w:sz w:val="24"/>
        </w:rPr>
        <w:lastRenderedPageBreak/>
        <w:t>In</w:t>
      </w:r>
      <w:r w:rsidR="00EC0B23" w:rsidRPr="00EC0B23">
        <w:rPr>
          <w:sz w:val="24"/>
        </w:rPr>
        <w:t xml:space="preserve"> </w:t>
      </w:r>
      <w:r>
        <w:rPr>
          <w:b/>
          <w:sz w:val="24"/>
        </w:rPr>
        <w:t>Campania</w:t>
      </w:r>
      <w:r w:rsidR="00EC0B23" w:rsidRPr="00EC0B23">
        <w:rPr>
          <w:sz w:val="24"/>
        </w:rPr>
        <w:t xml:space="preserve"> </w:t>
      </w:r>
      <w:r>
        <w:rPr>
          <w:sz w:val="24"/>
        </w:rPr>
        <w:t xml:space="preserve">la </w:t>
      </w:r>
      <w:r w:rsidR="00EC0B23" w:rsidRPr="00EC0B23">
        <w:rPr>
          <w:sz w:val="24"/>
        </w:rPr>
        <w:t>spesa media mensile familiare in ricreazione e cultura</w:t>
      </w:r>
      <w:r w:rsidR="00EC0B23">
        <w:rPr>
          <w:sz w:val="24"/>
        </w:rPr>
        <w:t xml:space="preserve"> </w:t>
      </w:r>
      <w:r>
        <w:rPr>
          <w:sz w:val="24"/>
        </w:rPr>
        <w:t xml:space="preserve">è di </w:t>
      </w:r>
      <w:r w:rsidRPr="00FB5C1D">
        <w:rPr>
          <w:b/>
          <w:sz w:val="24"/>
        </w:rPr>
        <w:t>95,4 euro</w:t>
      </w:r>
      <w:r>
        <w:rPr>
          <w:sz w:val="24"/>
        </w:rPr>
        <w:t xml:space="preserve"> al di sotto di quello medio nazionale, come in tutte le regioni del Meridione, anche se più elevato di quello medio espresso sia nella </w:t>
      </w:r>
      <w:proofErr w:type="spellStart"/>
      <w:r>
        <w:rPr>
          <w:sz w:val="24"/>
        </w:rPr>
        <w:t>macroarea</w:t>
      </w:r>
      <w:proofErr w:type="spellEnd"/>
      <w:r>
        <w:rPr>
          <w:sz w:val="24"/>
        </w:rPr>
        <w:t xml:space="preserve"> Sud che in quella delle Isole</w:t>
      </w:r>
      <w:r w:rsidR="00EC0B23">
        <w:rPr>
          <w:sz w:val="24"/>
        </w:rPr>
        <w:t>.</w:t>
      </w:r>
    </w:p>
    <w:p w:rsidR="00A85E75" w:rsidRPr="00763B37" w:rsidRDefault="00424083" w:rsidP="00A85E75">
      <w:pPr>
        <w:spacing w:after="0" w:line="276" w:lineRule="auto"/>
        <w:rPr>
          <w:sz w:val="24"/>
          <w:highlight w:val="yellow"/>
        </w:rPr>
      </w:pPr>
      <w:r>
        <w:rPr>
          <w:noProof/>
          <w:lang w:eastAsia="it-IT"/>
        </w:rPr>
        <w:drawing>
          <wp:anchor distT="0" distB="0" distL="114300" distR="114300" simplePos="0" relativeHeight="251665408" behindDoc="0" locked="0" layoutInCell="1" allowOverlap="1" wp14:anchorId="5140D238" wp14:editId="3ECD8616">
            <wp:simplePos x="0" y="0"/>
            <wp:positionH relativeFrom="margin">
              <wp:align>right</wp:align>
            </wp:positionH>
            <wp:positionV relativeFrom="margin">
              <wp:posOffset>1669415</wp:posOffset>
            </wp:positionV>
            <wp:extent cx="2609850" cy="1217930"/>
            <wp:effectExtent l="0" t="0" r="0" b="1270"/>
            <wp:wrapSquare wrapText="bothSides"/>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887DD2">
        <w:rPr>
          <w:noProof/>
          <w:lang w:eastAsia="it-IT"/>
        </w:rPr>
        <mc:AlternateContent>
          <mc:Choice Requires="wps">
            <w:drawing>
              <wp:anchor distT="0" distB="0" distL="114300" distR="114300" simplePos="0" relativeHeight="251666432" behindDoc="0" locked="0" layoutInCell="1" allowOverlap="1" wp14:anchorId="5515968E" wp14:editId="383DB30F">
                <wp:simplePos x="0" y="0"/>
                <wp:positionH relativeFrom="column">
                  <wp:posOffset>3589655</wp:posOffset>
                </wp:positionH>
                <wp:positionV relativeFrom="paragraph">
                  <wp:posOffset>440690</wp:posOffset>
                </wp:positionV>
                <wp:extent cx="2771775" cy="571500"/>
                <wp:effectExtent l="0" t="0" r="9525" b="0"/>
                <wp:wrapNone/>
                <wp:docPr id="4" name="Casella di testo 4"/>
                <wp:cNvGraphicFramePr/>
                <a:graphic xmlns:a="http://schemas.openxmlformats.org/drawingml/2006/main">
                  <a:graphicData uri="http://schemas.microsoft.com/office/word/2010/wordprocessingShape">
                    <wps:wsp>
                      <wps:cNvSpPr txBox="1"/>
                      <wps:spPr>
                        <a:xfrm>
                          <a:off x="0" y="0"/>
                          <a:ext cx="2771775"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5C1D" w:rsidRPr="00887DD2" w:rsidRDefault="00FB5C1D">
                            <w:pPr>
                              <w:rPr>
                                <w:sz w:val="20"/>
                              </w:rPr>
                            </w:pPr>
                            <w:r w:rsidRPr="00887DD2">
                              <w:rPr>
                                <w:b/>
                                <w:sz w:val="20"/>
                              </w:rPr>
                              <w:t xml:space="preserve">Spesa media mensile delle famiglie in ricreazione, spettacoli e cultura per </w:t>
                            </w:r>
                            <w:proofErr w:type="spellStart"/>
                            <w:r w:rsidRPr="00887DD2">
                              <w:rPr>
                                <w:b/>
                                <w:sz w:val="20"/>
                              </w:rPr>
                              <w:t>macroarea</w:t>
                            </w:r>
                            <w:proofErr w:type="spellEnd"/>
                            <w:r w:rsidRPr="00887DD2">
                              <w:rPr>
                                <w:sz w:val="20"/>
                              </w:rPr>
                              <w:t>, 2018 (</w:t>
                            </w:r>
                            <w:r w:rsidRPr="00887DD2">
                              <w:rPr>
                                <w:i/>
                                <w:sz w:val="20"/>
                              </w:rPr>
                              <w:t>euro</w:t>
                            </w:r>
                            <w:r w:rsidRPr="00887DD2">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5968E" id="_x0000_t202" coordsize="21600,21600" o:spt="202" path="m,l,21600r21600,l21600,xe">
                <v:stroke joinstyle="miter"/>
                <v:path gradientshapeok="t" o:connecttype="rect"/>
              </v:shapetype>
              <v:shape id="Casella di testo 4" o:spid="_x0000_s1026" type="#_x0000_t202" style="position:absolute;margin-left:282.65pt;margin-top:34.7pt;width:218.2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" fillcolor="white [3201]" stroked="f" strokeweight=".5pt">
                <v:textbox>
                  <w:txbxContent>
                    <w:p w:rsidR="00FB5C1D" w:rsidRPr="00887DD2" w:rsidRDefault="00FB5C1D">
                      <w:pPr>
                        <w:rPr>
                          <w:sz w:val="20"/>
                        </w:rPr>
                      </w:pPr>
                      <w:r w:rsidRPr="00887DD2">
                        <w:rPr>
                          <w:b/>
                          <w:sz w:val="20"/>
                        </w:rPr>
                        <w:t xml:space="preserve">Spesa media mensile delle famiglie in ricreazione, spettacoli e cultura per </w:t>
                      </w:r>
                      <w:proofErr w:type="spellStart"/>
                      <w:r w:rsidRPr="00887DD2">
                        <w:rPr>
                          <w:b/>
                          <w:sz w:val="20"/>
                        </w:rPr>
                        <w:t>macroarea</w:t>
                      </w:r>
                      <w:proofErr w:type="spellEnd"/>
                      <w:r w:rsidRPr="00887DD2">
                        <w:rPr>
                          <w:sz w:val="20"/>
                        </w:rPr>
                        <w:t>, 2018 (</w:t>
                      </w:r>
                      <w:r w:rsidRPr="00887DD2">
                        <w:rPr>
                          <w:i/>
                          <w:sz w:val="20"/>
                        </w:rPr>
                        <w:t>euro</w:t>
                      </w:r>
                      <w:r w:rsidRPr="00887DD2">
                        <w:rPr>
                          <w:sz w:val="20"/>
                        </w:rPr>
                        <w:t>)</w:t>
                      </w:r>
                    </w:p>
                  </w:txbxContent>
                </v:textbox>
              </v:shape>
            </w:pict>
          </mc:Fallback>
        </mc:AlternateContent>
      </w:r>
      <w:r w:rsidR="00EB17CC" w:rsidRPr="00EB17CC">
        <w:rPr>
          <w:b/>
          <w:sz w:val="24"/>
        </w:rPr>
        <w:t>Spesa media mensile delle famiglie per regione</w:t>
      </w:r>
      <w:r w:rsidR="00EB17CC">
        <w:rPr>
          <w:sz w:val="24"/>
        </w:rPr>
        <w:t xml:space="preserve">, </w:t>
      </w:r>
      <w:r w:rsidR="00EB17CC" w:rsidRPr="00EB17CC">
        <w:rPr>
          <w:sz w:val="24"/>
        </w:rPr>
        <w:t>201</w:t>
      </w:r>
      <w:r w:rsidR="002F58D6">
        <w:rPr>
          <w:sz w:val="24"/>
        </w:rPr>
        <w:t>8</w:t>
      </w:r>
      <w:r w:rsidR="00EB17CC" w:rsidRPr="00EB17CC">
        <w:rPr>
          <w:sz w:val="24"/>
        </w:rPr>
        <w:t xml:space="preserve"> </w:t>
      </w:r>
      <w:r w:rsidR="00EB17CC" w:rsidRPr="00EB17CC">
        <w:rPr>
          <w:i/>
          <w:sz w:val="24"/>
        </w:rPr>
        <w:t>(euro)</w:t>
      </w:r>
    </w:p>
    <w:tbl>
      <w:tblPr>
        <w:tblW w:w="5529" w:type="dxa"/>
        <w:tblInd w:w="-10" w:type="dxa"/>
        <w:tblCellMar>
          <w:left w:w="70" w:type="dxa"/>
          <w:right w:w="70" w:type="dxa"/>
        </w:tblCellMar>
        <w:tblLook w:val="04A0" w:firstRow="1" w:lastRow="0" w:firstColumn="1" w:lastColumn="0" w:noHBand="0" w:noVBand="1"/>
      </w:tblPr>
      <w:tblGrid>
        <w:gridCol w:w="1985"/>
        <w:gridCol w:w="1559"/>
        <w:gridCol w:w="1985"/>
      </w:tblGrid>
      <w:tr w:rsidR="002F58D6" w:rsidRPr="002F58D6" w:rsidTr="00A85E75">
        <w:trPr>
          <w:trHeight w:val="782"/>
        </w:trPr>
        <w:tc>
          <w:tcPr>
            <w:tcW w:w="198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F58D6" w:rsidRPr="002F58D6" w:rsidRDefault="002F58D6" w:rsidP="002F58D6">
            <w:pPr>
              <w:spacing w:after="0" w:line="240" w:lineRule="auto"/>
              <w:jc w:val="center"/>
              <w:rPr>
                <w:rFonts w:eastAsia="Times New Roman" w:cstheme="minorHAnsi"/>
                <w:b/>
                <w:bCs/>
                <w:color w:val="000000"/>
                <w:sz w:val="20"/>
                <w:szCs w:val="20"/>
                <w:lang w:eastAsia="it-IT"/>
              </w:rPr>
            </w:pPr>
            <w:r w:rsidRPr="002F58D6">
              <w:rPr>
                <w:rFonts w:eastAsia="Times New Roman" w:cstheme="minorHAnsi"/>
                <w:b/>
                <w:bCs/>
                <w:color w:val="000000"/>
                <w:sz w:val="20"/>
                <w:szCs w:val="20"/>
                <w:lang w:eastAsia="it-IT"/>
              </w:rPr>
              <w:t>Regione</w:t>
            </w:r>
          </w:p>
        </w:tc>
        <w:tc>
          <w:tcPr>
            <w:tcW w:w="1559" w:type="dxa"/>
            <w:tcBorders>
              <w:top w:val="single" w:sz="8" w:space="0" w:color="auto"/>
              <w:left w:val="nil"/>
              <w:bottom w:val="single" w:sz="4" w:space="0" w:color="auto"/>
              <w:right w:val="single" w:sz="4" w:space="0" w:color="auto"/>
            </w:tcBorders>
            <w:shd w:val="clear" w:color="000000" w:fill="FFFFFF"/>
            <w:vAlign w:val="center"/>
            <w:hideMark/>
          </w:tcPr>
          <w:p w:rsidR="002F58D6" w:rsidRPr="002F58D6" w:rsidRDefault="002F58D6" w:rsidP="002F58D6">
            <w:pPr>
              <w:spacing w:after="0" w:line="240" w:lineRule="auto"/>
              <w:jc w:val="center"/>
              <w:rPr>
                <w:rFonts w:eastAsia="Times New Roman" w:cstheme="minorHAnsi"/>
                <w:b/>
                <w:bCs/>
                <w:color w:val="000000"/>
                <w:sz w:val="20"/>
                <w:szCs w:val="20"/>
                <w:lang w:eastAsia="it-IT"/>
              </w:rPr>
            </w:pPr>
            <w:r w:rsidRPr="002F58D6">
              <w:rPr>
                <w:rFonts w:eastAsia="Times New Roman" w:cstheme="minorHAnsi"/>
                <w:b/>
                <w:bCs/>
                <w:color w:val="000000"/>
                <w:sz w:val="20"/>
                <w:szCs w:val="20"/>
                <w:lang w:eastAsia="it-IT"/>
              </w:rPr>
              <w:t>Spesa media mensile (=100%)</w:t>
            </w:r>
          </w:p>
        </w:tc>
        <w:tc>
          <w:tcPr>
            <w:tcW w:w="1985" w:type="dxa"/>
            <w:tcBorders>
              <w:top w:val="single" w:sz="8" w:space="0" w:color="auto"/>
              <w:left w:val="nil"/>
              <w:bottom w:val="single" w:sz="4" w:space="0" w:color="auto"/>
              <w:right w:val="single" w:sz="4" w:space="0" w:color="auto"/>
            </w:tcBorders>
            <w:shd w:val="clear" w:color="000000" w:fill="FFFFFF"/>
            <w:vAlign w:val="center"/>
            <w:hideMark/>
          </w:tcPr>
          <w:p w:rsidR="002F58D6" w:rsidRPr="002F58D6" w:rsidRDefault="002F58D6" w:rsidP="002F58D6">
            <w:pPr>
              <w:spacing w:after="0" w:line="240" w:lineRule="auto"/>
              <w:jc w:val="center"/>
              <w:rPr>
                <w:rFonts w:eastAsia="Times New Roman" w:cstheme="minorHAnsi"/>
                <w:b/>
                <w:bCs/>
                <w:color w:val="000000"/>
                <w:sz w:val="20"/>
                <w:szCs w:val="20"/>
                <w:lang w:eastAsia="it-IT"/>
              </w:rPr>
            </w:pPr>
            <w:r w:rsidRPr="002F58D6">
              <w:rPr>
                <w:rFonts w:eastAsia="Times New Roman" w:cstheme="minorHAnsi"/>
                <w:b/>
                <w:bCs/>
                <w:color w:val="000000"/>
                <w:sz w:val="20"/>
                <w:szCs w:val="20"/>
                <w:lang w:eastAsia="it-IT"/>
              </w:rPr>
              <w:t>Spesa media mensile in ricreazione, spettacoli e cultura</w:t>
            </w:r>
          </w:p>
        </w:tc>
      </w:tr>
      <w:tr w:rsidR="002F58D6" w:rsidRPr="002F58D6" w:rsidTr="00A85E75">
        <w:trPr>
          <w:trHeight w:val="20"/>
        </w:trPr>
        <w:tc>
          <w:tcPr>
            <w:tcW w:w="1985" w:type="dxa"/>
            <w:tcBorders>
              <w:top w:val="nil"/>
              <w:left w:val="single" w:sz="8" w:space="0" w:color="auto"/>
              <w:bottom w:val="single" w:sz="8" w:space="0" w:color="auto"/>
              <w:right w:val="nil"/>
            </w:tcBorders>
            <w:shd w:val="clear" w:color="auto" w:fill="auto"/>
            <w:vAlign w:val="center"/>
            <w:hideMark/>
          </w:tcPr>
          <w:p w:rsidR="002F58D6" w:rsidRPr="002F58D6" w:rsidRDefault="002F58D6" w:rsidP="002F58D6">
            <w:pPr>
              <w:spacing w:after="0" w:line="240" w:lineRule="auto"/>
              <w:rPr>
                <w:rFonts w:eastAsia="Times New Roman" w:cstheme="minorHAnsi"/>
                <w:color w:val="000000"/>
                <w:sz w:val="20"/>
                <w:szCs w:val="20"/>
                <w:lang w:eastAsia="it-IT"/>
              </w:rPr>
            </w:pPr>
            <w:r w:rsidRPr="002F58D6">
              <w:rPr>
                <w:rFonts w:eastAsia="Times New Roman" w:cstheme="minorHAnsi"/>
                <w:color w:val="000000"/>
                <w:sz w:val="20"/>
                <w:szCs w:val="20"/>
                <w:lang w:eastAsia="it-IT"/>
              </w:rPr>
              <w:t xml:space="preserve">Trentino Alto Adige </w:t>
            </w:r>
          </w:p>
        </w:tc>
        <w:tc>
          <w:tcPr>
            <w:tcW w:w="1559" w:type="dxa"/>
            <w:tcBorders>
              <w:top w:val="nil"/>
              <w:left w:val="single" w:sz="4" w:space="0" w:color="auto"/>
              <w:bottom w:val="single" w:sz="8" w:space="0" w:color="auto"/>
              <w:right w:val="single" w:sz="4" w:space="0" w:color="auto"/>
            </w:tcBorders>
            <w:shd w:val="clear" w:color="auto" w:fill="auto"/>
            <w:noWrap/>
            <w:vAlign w:val="center"/>
            <w:hideMark/>
          </w:tcPr>
          <w:p w:rsidR="002F58D6" w:rsidRPr="002F58D6" w:rsidRDefault="002F58D6" w:rsidP="002F58D6">
            <w:pPr>
              <w:spacing w:after="0" w:line="240" w:lineRule="auto"/>
              <w:jc w:val="center"/>
              <w:rPr>
                <w:rFonts w:eastAsia="Times New Roman" w:cstheme="minorHAnsi"/>
                <w:sz w:val="20"/>
                <w:szCs w:val="20"/>
                <w:lang w:eastAsia="it-IT"/>
              </w:rPr>
            </w:pPr>
            <w:r w:rsidRPr="002F58D6">
              <w:rPr>
                <w:rFonts w:eastAsia="Times New Roman" w:cstheme="minorHAnsi"/>
                <w:sz w:val="20"/>
                <w:szCs w:val="20"/>
                <w:lang w:eastAsia="it-IT"/>
              </w:rPr>
              <w:t>2.945,26</w:t>
            </w:r>
          </w:p>
        </w:tc>
        <w:tc>
          <w:tcPr>
            <w:tcW w:w="1985" w:type="dxa"/>
            <w:tcBorders>
              <w:top w:val="nil"/>
              <w:left w:val="nil"/>
              <w:bottom w:val="single" w:sz="8" w:space="0" w:color="auto"/>
              <w:right w:val="single" w:sz="4" w:space="0" w:color="auto"/>
            </w:tcBorders>
            <w:shd w:val="clear" w:color="000000" w:fill="D9D9D9"/>
            <w:noWrap/>
            <w:vAlign w:val="center"/>
            <w:hideMark/>
          </w:tcPr>
          <w:p w:rsidR="002F58D6" w:rsidRPr="002F58D6" w:rsidRDefault="002F58D6" w:rsidP="002F58D6">
            <w:pPr>
              <w:spacing w:after="0" w:line="240" w:lineRule="auto"/>
              <w:jc w:val="center"/>
              <w:rPr>
                <w:rFonts w:eastAsia="Times New Roman" w:cstheme="minorHAnsi"/>
                <w:sz w:val="20"/>
                <w:szCs w:val="20"/>
                <w:lang w:eastAsia="it-IT"/>
              </w:rPr>
            </w:pPr>
            <w:r w:rsidRPr="002F58D6">
              <w:rPr>
                <w:rFonts w:eastAsia="Times New Roman" w:cstheme="minorHAnsi"/>
                <w:sz w:val="20"/>
                <w:szCs w:val="20"/>
                <w:lang w:eastAsia="it-IT"/>
              </w:rPr>
              <w:t>178,86</w:t>
            </w:r>
          </w:p>
        </w:tc>
      </w:tr>
      <w:tr w:rsidR="002F58D6" w:rsidRPr="002F58D6" w:rsidTr="00A85E75">
        <w:trPr>
          <w:trHeight w:val="20"/>
        </w:trPr>
        <w:tc>
          <w:tcPr>
            <w:tcW w:w="1985" w:type="dxa"/>
            <w:tcBorders>
              <w:top w:val="nil"/>
              <w:left w:val="single" w:sz="8" w:space="0" w:color="auto"/>
              <w:bottom w:val="single" w:sz="8" w:space="0" w:color="auto"/>
              <w:right w:val="nil"/>
            </w:tcBorders>
            <w:shd w:val="clear" w:color="auto" w:fill="auto"/>
            <w:noWrap/>
            <w:vAlign w:val="center"/>
            <w:hideMark/>
          </w:tcPr>
          <w:p w:rsidR="002F58D6" w:rsidRPr="002F58D6" w:rsidRDefault="002F58D6" w:rsidP="002F58D6">
            <w:pPr>
              <w:spacing w:after="0" w:line="240" w:lineRule="auto"/>
              <w:rPr>
                <w:rFonts w:eastAsia="Times New Roman" w:cstheme="minorHAnsi"/>
                <w:color w:val="000000"/>
                <w:sz w:val="20"/>
                <w:szCs w:val="20"/>
                <w:lang w:eastAsia="it-IT"/>
              </w:rPr>
            </w:pPr>
            <w:r w:rsidRPr="002F58D6">
              <w:rPr>
                <w:rFonts w:eastAsia="Times New Roman" w:cstheme="minorHAnsi"/>
                <w:color w:val="000000"/>
                <w:sz w:val="20"/>
                <w:szCs w:val="20"/>
                <w:lang w:eastAsia="it-IT"/>
              </w:rPr>
              <w:t xml:space="preserve">Valle d'Aosta </w:t>
            </w:r>
          </w:p>
        </w:tc>
        <w:tc>
          <w:tcPr>
            <w:tcW w:w="1559" w:type="dxa"/>
            <w:tcBorders>
              <w:top w:val="nil"/>
              <w:left w:val="single" w:sz="4" w:space="0" w:color="auto"/>
              <w:bottom w:val="single" w:sz="8" w:space="0" w:color="auto"/>
              <w:right w:val="single" w:sz="4" w:space="0" w:color="auto"/>
            </w:tcBorders>
            <w:shd w:val="clear" w:color="auto" w:fill="auto"/>
            <w:noWrap/>
            <w:vAlign w:val="center"/>
            <w:hideMark/>
          </w:tcPr>
          <w:p w:rsidR="002F58D6" w:rsidRPr="002F58D6" w:rsidRDefault="002F58D6" w:rsidP="002F58D6">
            <w:pPr>
              <w:spacing w:after="0" w:line="240" w:lineRule="auto"/>
              <w:jc w:val="center"/>
              <w:rPr>
                <w:rFonts w:eastAsia="Times New Roman" w:cstheme="minorHAnsi"/>
                <w:sz w:val="20"/>
                <w:szCs w:val="20"/>
                <w:lang w:eastAsia="it-IT"/>
              </w:rPr>
            </w:pPr>
            <w:r w:rsidRPr="002F58D6">
              <w:rPr>
                <w:rFonts w:eastAsia="Times New Roman" w:cstheme="minorHAnsi"/>
                <w:sz w:val="20"/>
                <w:szCs w:val="20"/>
                <w:lang w:eastAsia="it-IT"/>
              </w:rPr>
              <w:t>3.017,91</w:t>
            </w:r>
          </w:p>
        </w:tc>
        <w:tc>
          <w:tcPr>
            <w:tcW w:w="1985" w:type="dxa"/>
            <w:tcBorders>
              <w:top w:val="nil"/>
              <w:left w:val="nil"/>
              <w:bottom w:val="single" w:sz="8" w:space="0" w:color="auto"/>
              <w:right w:val="single" w:sz="4" w:space="0" w:color="auto"/>
            </w:tcBorders>
            <w:shd w:val="clear" w:color="000000" w:fill="D9D9D9"/>
            <w:noWrap/>
            <w:vAlign w:val="center"/>
            <w:hideMark/>
          </w:tcPr>
          <w:p w:rsidR="002F58D6" w:rsidRPr="002F58D6" w:rsidRDefault="002F58D6" w:rsidP="002F58D6">
            <w:pPr>
              <w:spacing w:after="0" w:line="240" w:lineRule="auto"/>
              <w:jc w:val="center"/>
              <w:rPr>
                <w:rFonts w:eastAsia="Times New Roman" w:cstheme="minorHAnsi"/>
                <w:sz w:val="20"/>
                <w:szCs w:val="20"/>
                <w:lang w:eastAsia="it-IT"/>
              </w:rPr>
            </w:pPr>
            <w:r w:rsidRPr="002F58D6">
              <w:rPr>
                <w:rFonts w:eastAsia="Times New Roman" w:cstheme="minorHAnsi"/>
                <w:sz w:val="20"/>
                <w:szCs w:val="20"/>
                <w:lang w:eastAsia="it-IT"/>
              </w:rPr>
              <w:t>167,15</w:t>
            </w:r>
          </w:p>
        </w:tc>
      </w:tr>
      <w:tr w:rsidR="00FB5C1D" w:rsidRPr="00FB5C1D" w:rsidTr="00A85E75">
        <w:trPr>
          <w:trHeight w:val="20"/>
        </w:trPr>
        <w:tc>
          <w:tcPr>
            <w:tcW w:w="1985" w:type="dxa"/>
            <w:tcBorders>
              <w:top w:val="nil"/>
              <w:left w:val="single" w:sz="8" w:space="0" w:color="auto"/>
              <w:bottom w:val="single" w:sz="8" w:space="0" w:color="auto"/>
              <w:right w:val="nil"/>
            </w:tcBorders>
            <w:shd w:val="clear" w:color="auto" w:fill="auto"/>
            <w:noWrap/>
            <w:vAlign w:val="center"/>
            <w:hideMark/>
          </w:tcPr>
          <w:p w:rsidR="002F58D6" w:rsidRPr="00FB5C1D" w:rsidRDefault="002F58D6" w:rsidP="002F58D6">
            <w:pPr>
              <w:spacing w:after="0" w:line="240" w:lineRule="auto"/>
              <w:rPr>
                <w:rFonts w:eastAsia="Times New Roman" w:cstheme="minorHAnsi"/>
                <w:sz w:val="20"/>
                <w:szCs w:val="20"/>
                <w:lang w:eastAsia="it-IT"/>
              </w:rPr>
            </w:pPr>
            <w:r w:rsidRPr="00FB5C1D">
              <w:rPr>
                <w:rFonts w:eastAsia="Times New Roman" w:cstheme="minorHAnsi"/>
                <w:sz w:val="20"/>
                <w:szCs w:val="20"/>
                <w:lang w:eastAsia="it-IT"/>
              </w:rPr>
              <w:t>Lombardia</w:t>
            </w:r>
          </w:p>
        </w:tc>
        <w:tc>
          <w:tcPr>
            <w:tcW w:w="1559" w:type="dxa"/>
            <w:tcBorders>
              <w:top w:val="nil"/>
              <w:left w:val="single" w:sz="4" w:space="0" w:color="auto"/>
              <w:bottom w:val="single" w:sz="8" w:space="0" w:color="auto"/>
              <w:right w:val="single" w:sz="4" w:space="0" w:color="auto"/>
            </w:tcBorders>
            <w:shd w:val="clear" w:color="auto" w:fill="auto"/>
            <w:noWrap/>
            <w:vAlign w:val="center"/>
            <w:hideMark/>
          </w:tcPr>
          <w:p w:rsidR="002F58D6" w:rsidRPr="00FB5C1D" w:rsidRDefault="002F58D6" w:rsidP="002F58D6">
            <w:pPr>
              <w:spacing w:after="0" w:line="240" w:lineRule="auto"/>
              <w:jc w:val="center"/>
              <w:rPr>
                <w:rFonts w:eastAsia="Times New Roman" w:cstheme="minorHAnsi"/>
                <w:sz w:val="20"/>
                <w:szCs w:val="20"/>
                <w:lang w:eastAsia="it-IT"/>
              </w:rPr>
            </w:pPr>
            <w:r w:rsidRPr="00FB5C1D">
              <w:rPr>
                <w:rFonts w:eastAsia="Times New Roman" w:cstheme="minorHAnsi"/>
                <w:sz w:val="20"/>
                <w:szCs w:val="20"/>
                <w:lang w:eastAsia="it-IT"/>
              </w:rPr>
              <w:t>3.020,11</w:t>
            </w:r>
          </w:p>
        </w:tc>
        <w:tc>
          <w:tcPr>
            <w:tcW w:w="1985" w:type="dxa"/>
            <w:tcBorders>
              <w:top w:val="nil"/>
              <w:left w:val="nil"/>
              <w:bottom w:val="single" w:sz="8" w:space="0" w:color="auto"/>
              <w:right w:val="single" w:sz="4" w:space="0" w:color="auto"/>
            </w:tcBorders>
            <w:shd w:val="clear" w:color="000000" w:fill="D9D9D9"/>
            <w:noWrap/>
            <w:vAlign w:val="center"/>
            <w:hideMark/>
          </w:tcPr>
          <w:p w:rsidR="002F58D6" w:rsidRPr="00FB5C1D" w:rsidRDefault="002F58D6" w:rsidP="002F58D6">
            <w:pPr>
              <w:spacing w:after="0" w:line="240" w:lineRule="auto"/>
              <w:jc w:val="center"/>
              <w:rPr>
                <w:rFonts w:eastAsia="Times New Roman" w:cstheme="minorHAnsi"/>
                <w:sz w:val="20"/>
                <w:szCs w:val="20"/>
                <w:lang w:eastAsia="it-IT"/>
              </w:rPr>
            </w:pPr>
            <w:r w:rsidRPr="00FB5C1D">
              <w:rPr>
                <w:rFonts w:eastAsia="Times New Roman" w:cstheme="minorHAnsi"/>
                <w:sz w:val="20"/>
                <w:szCs w:val="20"/>
                <w:lang w:eastAsia="it-IT"/>
              </w:rPr>
              <w:t>164,33</w:t>
            </w:r>
          </w:p>
        </w:tc>
      </w:tr>
      <w:tr w:rsidR="002F58D6" w:rsidRPr="002F58D6" w:rsidTr="00A85E75">
        <w:trPr>
          <w:trHeight w:val="20"/>
        </w:trPr>
        <w:tc>
          <w:tcPr>
            <w:tcW w:w="1985" w:type="dxa"/>
            <w:tcBorders>
              <w:top w:val="nil"/>
              <w:left w:val="single" w:sz="8" w:space="0" w:color="auto"/>
              <w:bottom w:val="single" w:sz="8" w:space="0" w:color="auto"/>
              <w:right w:val="nil"/>
            </w:tcBorders>
            <w:shd w:val="clear" w:color="auto" w:fill="auto"/>
            <w:noWrap/>
            <w:vAlign w:val="center"/>
            <w:hideMark/>
          </w:tcPr>
          <w:p w:rsidR="002F58D6" w:rsidRPr="002F58D6" w:rsidRDefault="002F58D6" w:rsidP="002F58D6">
            <w:pPr>
              <w:spacing w:after="0" w:line="240" w:lineRule="auto"/>
              <w:rPr>
                <w:rFonts w:eastAsia="Times New Roman" w:cstheme="minorHAnsi"/>
                <w:color w:val="000000"/>
                <w:sz w:val="20"/>
                <w:szCs w:val="20"/>
                <w:lang w:eastAsia="it-IT"/>
              </w:rPr>
            </w:pPr>
            <w:r w:rsidRPr="002F58D6">
              <w:rPr>
                <w:rFonts w:eastAsia="Times New Roman" w:cstheme="minorHAnsi"/>
                <w:color w:val="000000"/>
                <w:sz w:val="20"/>
                <w:szCs w:val="20"/>
                <w:lang w:eastAsia="it-IT"/>
              </w:rPr>
              <w:t>Emilia-Romagna</w:t>
            </w:r>
          </w:p>
        </w:tc>
        <w:tc>
          <w:tcPr>
            <w:tcW w:w="1559" w:type="dxa"/>
            <w:tcBorders>
              <w:top w:val="nil"/>
              <w:left w:val="single" w:sz="4" w:space="0" w:color="auto"/>
              <w:bottom w:val="single" w:sz="8" w:space="0" w:color="auto"/>
              <w:right w:val="single" w:sz="4" w:space="0" w:color="auto"/>
            </w:tcBorders>
            <w:shd w:val="clear" w:color="auto" w:fill="auto"/>
            <w:noWrap/>
            <w:vAlign w:val="center"/>
            <w:hideMark/>
          </w:tcPr>
          <w:p w:rsidR="002F58D6" w:rsidRPr="002F58D6" w:rsidRDefault="002F58D6" w:rsidP="002F58D6">
            <w:pPr>
              <w:spacing w:after="0" w:line="240" w:lineRule="auto"/>
              <w:jc w:val="center"/>
              <w:rPr>
                <w:rFonts w:eastAsia="Times New Roman" w:cstheme="minorHAnsi"/>
                <w:sz w:val="20"/>
                <w:szCs w:val="20"/>
                <w:lang w:eastAsia="it-IT"/>
              </w:rPr>
            </w:pPr>
            <w:r w:rsidRPr="002F58D6">
              <w:rPr>
                <w:rFonts w:eastAsia="Times New Roman" w:cstheme="minorHAnsi"/>
                <w:sz w:val="20"/>
                <w:szCs w:val="20"/>
                <w:lang w:eastAsia="it-IT"/>
              </w:rPr>
              <w:t>2.898,61</w:t>
            </w:r>
          </w:p>
        </w:tc>
        <w:tc>
          <w:tcPr>
            <w:tcW w:w="1985" w:type="dxa"/>
            <w:tcBorders>
              <w:top w:val="nil"/>
              <w:left w:val="nil"/>
              <w:bottom w:val="single" w:sz="8" w:space="0" w:color="auto"/>
              <w:right w:val="single" w:sz="4" w:space="0" w:color="auto"/>
            </w:tcBorders>
            <w:shd w:val="clear" w:color="000000" w:fill="D9D9D9"/>
            <w:noWrap/>
            <w:vAlign w:val="center"/>
            <w:hideMark/>
          </w:tcPr>
          <w:p w:rsidR="002F58D6" w:rsidRPr="002F58D6" w:rsidRDefault="002F58D6" w:rsidP="002F58D6">
            <w:pPr>
              <w:spacing w:after="0" w:line="240" w:lineRule="auto"/>
              <w:jc w:val="center"/>
              <w:rPr>
                <w:rFonts w:eastAsia="Times New Roman" w:cstheme="minorHAnsi"/>
                <w:sz w:val="20"/>
                <w:szCs w:val="20"/>
                <w:lang w:eastAsia="it-IT"/>
              </w:rPr>
            </w:pPr>
            <w:r w:rsidRPr="002F58D6">
              <w:rPr>
                <w:rFonts w:eastAsia="Times New Roman" w:cstheme="minorHAnsi"/>
                <w:sz w:val="20"/>
                <w:szCs w:val="20"/>
                <w:lang w:eastAsia="it-IT"/>
              </w:rPr>
              <w:t>158,49</w:t>
            </w:r>
          </w:p>
        </w:tc>
      </w:tr>
      <w:tr w:rsidR="002F58D6" w:rsidRPr="002F58D6" w:rsidTr="00A85E75">
        <w:trPr>
          <w:trHeight w:val="20"/>
        </w:trPr>
        <w:tc>
          <w:tcPr>
            <w:tcW w:w="1985" w:type="dxa"/>
            <w:tcBorders>
              <w:top w:val="nil"/>
              <w:left w:val="single" w:sz="8" w:space="0" w:color="auto"/>
              <w:bottom w:val="single" w:sz="8" w:space="0" w:color="auto"/>
              <w:right w:val="nil"/>
            </w:tcBorders>
            <w:shd w:val="clear" w:color="auto" w:fill="auto"/>
            <w:noWrap/>
            <w:vAlign w:val="center"/>
            <w:hideMark/>
          </w:tcPr>
          <w:p w:rsidR="002F58D6" w:rsidRPr="002F58D6" w:rsidRDefault="002F58D6" w:rsidP="002F58D6">
            <w:pPr>
              <w:spacing w:after="0" w:line="240" w:lineRule="auto"/>
              <w:rPr>
                <w:rFonts w:eastAsia="Times New Roman" w:cstheme="minorHAnsi"/>
                <w:color w:val="000000"/>
                <w:sz w:val="20"/>
                <w:szCs w:val="20"/>
                <w:lang w:eastAsia="it-IT"/>
              </w:rPr>
            </w:pPr>
            <w:r w:rsidRPr="002F58D6">
              <w:rPr>
                <w:rFonts w:eastAsia="Times New Roman" w:cstheme="minorHAnsi"/>
                <w:color w:val="000000"/>
                <w:sz w:val="20"/>
                <w:szCs w:val="20"/>
                <w:lang w:eastAsia="it-IT"/>
              </w:rPr>
              <w:t>Toscana</w:t>
            </w:r>
          </w:p>
        </w:tc>
        <w:tc>
          <w:tcPr>
            <w:tcW w:w="1559" w:type="dxa"/>
            <w:tcBorders>
              <w:top w:val="nil"/>
              <w:left w:val="single" w:sz="4" w:space="0" w:color="auto"/>
              <w:bottom w:val="single" w:sz="8" w:space="0" w:color="auto"/>
              <w:right w:val="single" w:sz="4" w:space="0" w:color="auto"/>
            </w:tcBorders>
            <w:shd w:val="clear" w:color="auto" w:fill="auto"/>
            <w:noWrap/>
            <w:vAlign w:val="center"/>
            <w:hideMark/>
          </w:tcPr>
          <w:p w:rsidR="002F58D6" w:rsidRPr="002F58D6" w:rsidRDefault="002F58D6" w:rsidP="002F58D6">
            <w:pPr>
              <w:spacing w:after="0" w:line="240" w:lineRule="auto"/>
              <w:jc w:val="center"/>
              <w:rPr>
                <w:rFonts w:eastAsia="Times New Roman" w:cstheme="minorHAnsi"/>
                <w:sz w:val="20"/>
                <w:szCs w:val="20"/>
                <w:lang w:eastAsia="it-IT"/>
              </w:rPr>
            </w:pPr>
            <w:r w:rsidRPr="002F58D6">
              <w:rPr>
                <w:rFonts w:eastAsia="Times New Roman" w:cstheme="minorHAnsi"/>
                <w:sz w:val="20"/>
                <w:szCs w:val="20"/>
                <w:lang w:eastAsia="it-IT"/>
              </w:rPr>
              <w:t>2.899,12</w:t>
            </w:r>
          </w:p>
        </w:tc>
        <w:tc>
          <w:tcPr>
            <w:tcW w:w="1985" w:type="dxa"/>
            <w:tcBorders>
              <w:top w:val="nil"/>
              <w:left w:val="nil"/>
              <w:bottom w:val="single" w:sz="8" w:space="0" w:color="auto"/>
              <w:right w:val="single" w:sz="4" w:space="0" w:color="auto"/>
            </w:tcBorders>
            <w:shd w:val="clear" w:color="000000" w:fill="D9D9D9"/>
            <w:noWrap/>
            <w:vAlign w:val="center"/>
            <w:hideMark/>
          </w:tcPr>
          <w:p w:rsidR="002F58D6" w:rsidRPr="002F58D6" w:rsidRDefault="002F58D6" w:rsidP="002F58D6">
            <w:pPr>
              <w:spacing w:after="0" w:line="240" w:lineRule="auto"/>
              <w:jc w:val="center"/>
              <w:rPr>
                <w:rFonts w:eastAsia="Times New Roman" w:cstheme="minorHAnsi"/>
                <w:sz w:val="20"/>
                <w:szCs w:val="20"/>
                <w:lang w:eastAsia="it-IT"/>
              </w:rPr>
            </w:pPr>
            <w:r w:rsidRPr="002F58D6">
              <w:rPr>
                <w:rFonts w:eastAsia="Times New Roman" w:cstheme="minorHAnsi"/>
                <w:sz w:val="20"/>
                <w:szCs w:val="20"/>
                <w:lang w:eastAsia="it-IT"/>
              </w:rPr>
              <w:t>154,39</w:t>
            </w:r>
          </w:p>
        </w:tc>
      </w:tr>
      <w:tr w:rsidR="002F58D6" w:rsidRPr="002F58D6" w:rsidTr="00A85E75">
        <w:trPr>
          <w:trHeight w:val="20"/>
        </w:trPr>
        <w:tc>
          <w:tcPr>
            <w:tcW w:w="1985" w:type="dxa"/>
            <w:tcBorders>
              <w:top w:val="nil"/>
              <w:left w:val="single" w:sz="8" w:space="0" w:color="auto"/>
              <w:bottom w:val="single" w:sz="8" w:space="0" w:color="auto"/>
              <w:right w:val="nil"/>
            </w:tcBorders>
            <w:shd w:val="clear" w:color="auto" w:fill="auto"/>
            <w:noWrap/>
            <w:vAlign w:val="center"/>
            <w:hideMark/>
          </w:tcPr>
          <w:p w:rsidR="002F58D6" w:rsidRPr="002F58D6" w:rsidRDefault="002F58D6" w:rsidP="002F58D6">
            <w:pPr>
              <w:spacing w:after="0" w:line="240" w:lineRule="auto"/>
              <w:rPr>
                <w:rFonts w:eastAsia="Times New Roman" w:cstheme="minorHAnsi"/>
                <w:color w:val="000000"/>
                <w:sz w:val="20"/>
                <w:szCs w:val="20"/>
                <w:lang w:eastAsia="it-IT"/>
              </w:rPr>
            </w:pPr>
            <w:r w:rsidRPr="002F58D6">
              <w:rPr>
                <w:rFonts w:eastAsia="Times New Roman" w:cstheme="minorHAnsi"/>
                <w:color w:val="000000"/>
                <w:sz w:val="20"/>
                <w:szCs w:val="20"/>
                <w:lang w:eastAsia="it-IT"/>
              </w:rPr>
              <w:t>Veneto</w:t>
            </w:r>
          </w:p>
        </w:tc>
        <w:tc>
          <w:tcPr>
            <w:tcW w:w="1559" w:type="dxa"/>
            <w:tcBorders>
              <w:top w:val="nil"/>
              <w:left w:val="single" w:sz="4" w:space="0" w:color="auto"/>
              <w:bottom w:val="single" w:sz="8" w:space="0" w:color="auto"/>
              <w:right w:val="single" w:sz="4" w:space="0" w:color="auto"/>
            </w:tcBorders>
            <w:shd w:val="clear" w:color="auto" w:fill="auto"/>
            <w:noWrap/>
            <w:vAlign w:val="center"/>
            <w:hideMark/>
          </w:tcPr>
          <w:p w:rsidR="002F58D6" w:rsidRPr="002F58D6" w:rsidRDefault="002F58D6" w:rsidP="002F58D6">
            <w:pPr>
              <w:spacing w:after="0" w:line="240" w:lineRule="auto"/>
              <w:jc w:val="center"/>
              <w:rPr>
                <w:rFonts w:eastAsia="Times New Roman" w:cstheme="minorHAnsi"/>
                <w:sz w:val="20"/>
                <w:szCs w:val="20"/>
                <w:lang w:eastAsia="it-IT"/>
              </w:rPr>
            </w:pPr>
            <w:r w:rsidRPr="002F58D6">
              <w:rPr>
                <w:rFonts w:eastAsia="Times New Roman" w:cstheme="minorHAnsi"/>
                <w:sz w:val="20"/>
                <w:szCs w:val="20"/>
                <w:lang w:eastAsia="it-IT"/>
              </w:rPr>
              <w:t>2.701,54</w:t>
            </w:r>
          </w:p>
        </w:tc>
        <w:tc>
          <w:tcPr>
            <w:tcW w:w="1985" w:type="dxa"/>
            <w:tcBorders>
              <w:top w:val="nil"/>
              <w:left w:val="nil"/>
              <w:bottom w:val="single" w:sz="8" w:space="0" w:color="auto"/>
              <w:right w:val="single" w:sz="4" w:space="0" w:color="auto"/>
            </w:tcBorders>
            <w:shd w:val="clear" w:color="000000" w:fill="D9D9D9"/>
            <w:noWrap/>
            <w:vAlign w:val="center"/>
            <w:hideMark/>
          </w:tcPr>
          <w:p w:rsidR="002F58D6" w:rsidRPr="002F58D6" w:rsidRDefault="002F58D6" w:rsidP="002F58D6">
            <w:pPr>
              <w:spacing w:after="0" w:line="240" w:lineRule="auto"/>
              <w:jc w:val="center"/>
              <w:rPr>
                <w:rFonts w:eastAsia="Times New Roman" w:cstheme="minorHAnsi"/>
                <w:sz w:val="20"/>
                <w:szCs w:val="20"/>
                <w:lang w:eastAsia="it-IT"/>
              </w:rPr>
            </w:pPr>
            <w:r w:rsidRPr="002F58D6">
              <w:rPr>
                <w:rFonts w:eastAsia="Times New Roman" w:cstheme="minorHAnsi"/>
                <w:sz w:val="20"/>
                <w:szCs w:val="20"/>
                <w:lang w:eastAsia="it-IT"/>
              </w:rPr>
              <w:t>147,01</w:t>
            </w:r>
          </w:p>
        </w:tc>
      </w:tr>
      <w:tr w:rsidR="002F58D6" w:rsidRPr="002F58D6" w:rsidTr="00A85E75">
        <w:trPr>
          <w:trHeight w:val="20"/>
        </w:trPr>
        <w:tc>
          <w:tcPr>
            <w:tcW w:w="1985" w:type="dxa"/>
            <w:tcBorders>
              <w:top w:val="nil"/>
              <w:left w:val="single" w:sz="8" w:space="0" w:color="auto"/>
              <w:bottom w:val="single" w:sz="8" w:space="0" w:color="auto"/>
              <w:right w:val="nil"/>
            </w:tcBorders>
            <w:shd w:val="clear" w:color="auto" w:fill="auto"/>
            <w:noWrap/>
            <w:vAlign w:val="center"/>
            <w:hideMark/>
          </w:tcPr>
          <w:p w:rsidR="002F58D6" w:rsidRPr="002F58D6" w:rsidRDefault="002F58D6" w:rsidP="002F58D6">
            <w:pPr>
              <w:spacing w:after="0" w:line="240" w:lineRule="auto"/>
              <w:rPr>
                <w:rFonts w:eastAsia="Times New Roman" w:cstheme="minorHAnsi"/>
                <w:color w:val="000000"/>
                <w:sz w:val="20"/>
                <w:szCs w:val="20"/>
                <w:lang w:eastAsia="it-IT"/>
              </w:rPr>
            </w:pPr>
            <w:r w:rsidRPr="002F58D6">
              <w:rPr>
                <w:rFonts w:eastAsia="Times New Roman" w:cstheme="minorHAnsi"/>
                <w:color w:val="000000"/>
                <w:sz w:val="20"/>
                <w:szCs w:val="20"/>
                <w:lang w:eastAsia="it-IT"/>
              </w:rPr>
              <w:t>Piemonte</w:t>
            </w:r>
          </w:p>
        </w:tc>
        <w:tc>
          <w:tcPr>
            <w:tcW w:w="1559" w:type="dxa"/>
            <w:tcBorders>
              <w:top w:val="nil"/>
              <w:left w:val="single" w:sz="4" w:space="0" w:color="auto"/>
              <w:bottom w:val="single" w:sz="8" w:space="0" w:color="auto"/>
              <w:right w:val="single" w:sz="4" w:space="0" w:color="auto"/>
            </w:tcBorders>
            <w:shd w:val="clear" w:color="auto" w:fill="auto"/>
            <w:noWrap/>
            <w:vAlign w:val="center"/>
            <w:hideMark/>
          </w:tcPr>
          <w:p w:rsidR="002F58D6" w:rsidRPr="002F58D6" w:rsidRDefault="002F58D6" w:rsidP="002F58D6">
            <w:pPr>
              <w:spacing w:after="0" w:line="240" w:lineRule="auto"/>
              <w:jc w:val="center"/>
              <w:rPr>
                <w:rFonts w:eastAsia="Times New Roman" w:cstheme="minorHAnsi"/>
                <w:sz w:val="20"/>
                <w:szCs w:val="20"/>
                <w:lang w:eastAsia="it-IT"/>
              </w:rPr>
            </w:pPr>
            <w:r w:rsidRPr="002F58D6">
              <w:rPr>
                <w:rFonts w:eastAsia="Times New Roman" w:cstheme="minorHAnsi"/>
                <w:sz w:val="20"/>
                <w:szCs w:val="20"/>
                <w:lang w:eastAsia="it-IT"/>
              </w:rPr>
              <w:t>2.643,78</w:t>
            </w:r>
          </w:p>
        </w:tc>
        <w:tc>
          <w:tcPr>
            <w:tcW w:w="1985" w:type="dxa"/>
            <w:tcBorders>
              <w:top w:val="nil"/>
              <w:left w:val="nil"/>
              <w:bottom w:val="single" w:sz="8" w:space="0" w:color="auto"/>
              <w:right w:val="single" w:sz="4" w:space="0" w:color="auto"/>
            </w:tcBorders>
            <w:shd w:val="clear" w:color="000000" w:fill="D9D9D9"/>
            <w:noWrap/>
            <w:vAlign w:val="center"/>
            <w:hideMark/>
          </w:tcPr>
          <w:p w:rsidR="002F58D6" w:rsidRPr="002F58D6" w:rsidRDefault="002F58D6" w:rsidP="002F58D6">
            <w:pPr>
              <w:spacing w:after="0" w:line="240" w:lineRule="auto"/>
              <w:jc w:val="center"/>
              <w:rPr>
                <w:rFonts w:eastAsia="Times New Roman" w:cstheme="minorHAnsi"/>
                <w:sz w:val="20"/>
                <w:szCs w:val="20"/>
                <w:lang w:eastAsia="it-IT"/>
              </w:rPr>
            </w:pPr>
            <w:r w:rsidRPr="002F58D6">
              <w:rPr>
                <w:rFonts w:eastAsia="Times New Roman" w:cstheme="minorHAnsi"/>
                <w:sz w:val="20"/>
                <w:szCs w:val="20"/>
                <w:lang w:eastAsia="it-IT"/>
              </w:rPr>
              <w:t>139,21</w:t>
            </w:r>
          </w:p>
        </w:tc>
      </w:tr>
      <w:tr w:rsidR="002F58D6" w:rsidRPr="002F58D6" w:rsidTr="00A85E75">
        <w:trPr>
          <w:trHeight w:val="20"/>
        </w:trPr>
        <w:tc>
          <w:tcPr>
            <w:tcW w:w="1985" w:type="dxa"/>
            <w:tcBorders>
              <w:top w:val="nil"/>
              <w:left w:val="single" w:sz="8" w:space="0" w:color="auto"/>
              <w:bottom w:val="single" w:sz="8" w:space="0" w:color="auto"/>
              <w:right w:val="nil"/>
            </w:tcBorders>
            <w:shd w:val="clear" w:color="auto" w:fill="auto"/>
            <w:noWrap/>
            <w:vAlign w:val="center"/>
            <w:hideMark/>
          </w:tcPr>
          <w:p w:rsidR="002F58D6" w:rsidRPr="002F58D6" w:rsidRDefault="002F58D6" w:rsidP="002F58D6">
            <w:pPr>
              <w:spacing w:after="0" w:line="240" w:lineRule="auto"/>
              <w:rPr>
                <w:rFonts w:eastAsia="Times New Roman" w:cstheme="minorHAnsi"/>
                <w:color w:val="000000"/>
                <w:sz w:val="20"/>
                <w:szCs w:val="20"/>
                <w:lang w:eastAsia="it-IT"/>
              </w:rPr>
            </w:pPr>
            <w:r w:rsidRPr="002F58D6">
              <w:rPr>
                <w:rFonts w:eastAsia="Times New Roman" w:cstheme="minorHAnsi"/>
                <w:color w:val="000000"/>
                <w:sz w:val="20"/>
                <w:szCs w:val="20"/>
                <w:lang w:eastAsia="it-IT"/>
              </w:rPr>
              <w:t>Lazio</w:t>
            </w:r>
          </w:p>
        </w:tc>
        <w:tc>
          <w:tcPr>
            <w:tcW w:w="1559" w:type="dxa"/>
            <w:tcBorders>
              <w:top w:val="nil"/>
              <w:left w:val="single" w:sz="4" w:space="0" w:color="auto"/>
              <w:bottom w:val="single" w:sz="8" w:space="0" w:color="auto"/>
              <w:right w:val="single" w:sz="4" w:space="0" w:color="auto"/>
            </w:tcBorders>
            <w:shd w:val="clear" w:color="auto" w:fill="auto"/>
            <w:noWrap/>
            <w:vAlign w:val="center"/>
            <w:hideMark/>
          </w:tcPr>
          <w:p w:rsidR="002F58D6" w:rsidRPr="002F58D6" w:rsidRDefault="002F58D6" w:rsidP="002F58D6">
            <w:pPr>
              <w:spacing w:after="0" w:line="240" w:lineRule="auto"/>
              <w:jc w:val="center"/>
              <w:rPr>
                <w:rFonts w:eastAsia="Times New Roman" w:cstheme="minorHAnsi"/>
                <w:sz w:val="20"/>
                <w:szCs w:val="20"/>
                <w:lang w:eastAsia="it-IT"/>
              </w:rPr>
            </w:pPr>
            <w:r w:rsidRPr="002F58D6">
              <w:rPr>
                <w:rFonts w:eastAsia="Times New Roman" w:cstheme="minorHAnsi"/>
                <w:sz w:val="20"/>
                <w:szCs w:val="20"/>
                <w:lang w:eastAsia="it-IT"/>
              </w:rPr>
              <w:t>2.768,73</w:t>
            </w:r>
          </w:p>
        </w:tc>
        <w:tc>
          <w:tcPr>
            <w:tcW w:w="1985" w:type="dxa"/>
            <w:tcBorders>
              <w:top w:val="nil"/>
              <w:left w:val="nil"/>
              <w:bottom w:val="single" w:sz="8" w:space="0" w:color="auto"/>
              <w:right w:val="single" w:sz="4" w:space="0" w:color="auto"/>
            </w:tcBorders>
            <w:shd w:val="clear" w:color="000000" w:fill="D9D9D9"/>
            <w:noWrap/>
            <w:vAlign w:val="center"/>
            <w:hideMark/>
          </w:tcPr>
          <w:p w:rsidR="002F58D6" w:rsidRPr="002F58D6" w:rsidRDefault="002F58D6" w:rsidP="002F58D6">
            <w:pPr>
              <w:spacing w:after="0" w:line="240" w:lineRule="auto"/>
              <w:jc w:val="center"/>
              <w:rPr>
                <w:rFonts w:eastAsia="Times New Roman" w:cstheme="minorHAnsi"/>
                <w:sz w:val="20"/>
                <w:szCs w:val="20"/>
                <w:lang w:eastAsia="it-IT"/>
              </w:rPr>
            </w:pPr>
            <w:r w:rsidRPr="002F58D6">
              <w:rPr>
                <w:rFonts w:eastAsia="Times New Roman" w:cstheme="minorHAnsi"/>
                <w:sz w:val="20"/>
                <w:szCs w:val="20"/>
                <w:lang w:eastAsia="it-IT"/>
              </w:rPr>
              <w:t>135,04</w:t>
            </w:r>
          </w:p>
        </w:tc>
      </w:tr>
      <w:tr w:rsidR="002F58D6" w:rsidRPr="002F58D6" w:rsidTr="00A85E75">
        <w:trPr>
          <w:trHeight w:val="20"/>
        </w:trPr>
        <w:tc>
          <w:tcPr>
            <w:tcW w:w="1985" w:type="dxa"/>
            <w:tcBorders>
              <w:top w:val="nil"/>
              <w:left w:val="single" w:sz="8" w:space="0" w:color="auto"/>
              <w:bottom w:val="single" w:sz="8" w:space="0" w:color="auto"/>
              <w:right w:val="nil"/>
            </w:tcBorders>
            <w:shd w:val="clear" w:color="auto" w:fill="auto"/>
            <w:noWrap/>
            <w:vAlign w:val="center"/>
            <w:hideMark/>
          </w:tcPr>
          <w:p w:rsidR="002F58D6" w:rsidRPr="002F58D6" w:rsidRDefault="002F58D6" w:rsidP="002F58D6">
            <w:pPr>
              <w:spacing w:after="0" w:line="240" w:lineRule="auto"/>
              <w:rPr>
                <w:rFonts w:eastAsia="Times New Roman" w:cstheme="minorHAnsi"/>
                <w:color w:val="000000"/>
                <w:sz w:val="20"/>
                <w:szCs w:val="20"/>
                <w:lang w:eastAsia="it-IT"/>
              </w:rPr>
            </w:pPr>
            <w:r w:rsidRPr="002F58D6">
              <w:rPr>
                <w:rFonts w:eastAsia="Times New Roman" w:cstheme="minorHAnsi"/>
                <w:color w:val="000000"/>
                <w:sz w:val="20"/>
                <w:szCs w:val="20"/>
                <w:lang w:eastAsia="it-IT"/>
              </w:rPr>
              <w:t>Friuli-Venezia Giulia</w:t>
            </w:r>
          </w:p>
        </w:tc>
        <w:tc>
          <w:tcPr>
            <w:tcW w:w="1559" w:type="dxa"/>
            <w:tcBorders>
              <w:top w:val="nil"/>
              <w:left w:val="single" w:sz="4" w:space="0" w:color="auto"/>
              <w:bottom w:val="single" w:sz="8" w:space="0" w:color="auto"/>
              <w:right w:val="single" w:sz="4" w:space="0" w:color="auto"/>
            </w:tcBorders>
            <w:shd w:val="clear" w:color="auto" w:fill="auto"/>
            <w:noWrap/>
            <w:vAlign w:val="center"/>
            <w:hideMark/>
          </w:tcPr>
          <w:p w:rsidR="002F58D6" w:rsidRPr="002F58D6" w:rsidRDefault="002F58D6" w:rsidP="002F58D6">
            <w:pPr>
              <w:spacing w:after="0" w:line="240" w:lineRule="auto"/>
              <w:jc w:val="center"/>
              <w:rPr>
                <w:rFonts w:eastAsia="Times New Roman" w:cstheme="minorHAnsi"/>
                <w:sz w:val="20"/>
                <w:szCs w:val="20"/>
                <w:lang w:eastAsia="it-IT"/>
              </w:rPr>
            </w:pPr>
            <w:r w:rsidRPr="002F58D6">
              <w:rPr>
                <w:rFonts w:eastAsia="Times New Roman" w:cstheme="minorHAnsi"/>
                <w:sz w:val="20"/>
                <w:szCs w:val="20"/>
                <w:lang w:eastAsia="it-IT"/>
              </w:rPr>
              <w:t>2.536,93</w:t>
            </w:r>
          </w:p>
        </w:tc>
        <w:tc>
          <w:tcPr>
            <w:tcW w:w="1985" w:type="dxa"/>
            <w:tcBorders>
              <w:top w:val="nil"/>
              <w:left w:val="nil"/>
              <w:bottom w:val="single" w:sz="8" w:space="0" w:color="auto"/>
              <w:right w:val="single" w:sz="4" w:space="0" w:color="auto"/>
            </w:tcBorders>
            <w:shd w:val="clear" w:color="000000" w:fill="D9D9D9"/>
            <w:noWrap/>
            <w:vAlign w:val="center"/>
            <w:hideMark/>
          </w:tcPr>
          <w:p w:rsidR="002F58D6" w:rsidRPr="002F58D6" w:rsidRDefault="002F58D6" w:rsidP="002F58D6">
            <w:pPr>
              <w:spacing w:after="0" w:line="240" w:lineRule="auto"/>
              <w:jc w:val="center"/>
              <w:rPr>
                <w:rFonts w:eastAsia="Times New Roman" w:cstheme="minorHAnsi"/>
                <w:sz w:val="20"/>
                <w:szCs w:val="20"/>
                <w:lang w:eastAsia="it-IT"/>
              </w:rPr>
            </w:pPr>
            <w:r w:rsidRPr="002F58D6">
              <w:rPr>
                <w:rFonts w:eastAsia="Times New Roman" w:cstheme="minorHAnsi"/>
                <w:sz w:val="20"/>
                <w:szCs w:val="20"/>
                <w:lang w:eastAsia="it-IT"/>
              </w:rPr>
              <w:t>129,82</w:t>
            </w:r>
          </w:p>
        </w:tc>
      </w:tr>
      <w:tr w:rsidR="002F58D6" w:rsidRPr="002F58D6" w:rsidTr="00A85E75">
        <w:trPr>
          <w:trHeight w:val="20"/>
        </w:trPr>
        <w:tc>
          <w:tcPr>
            <w:tcW w:w="1985" w:type="dxa"/>
            <w:tcBorders>
              <w:top w:val="nil"/>
              <w:left w:val="single" w:sz="8" w:space="0" w:color="auto"/>
              <w:bottom w:val="single" w:sz="8" w:space="0" w:color="auto"/>
              <w:right w:val="nil"/>
            </w:tcBorders>
            <w:shd w:val="clear" w:color="auto" w:fill="auto"/>
            <w:noWrap/>
            <w:vAlign w:val="center"/>
            <w:hideMark/>
          </w:tcPr>
          <w:p w:rsidR="002F58D6" w:rsidRPr="002F58D6" w:rsidRDefault="002F58D6" w:rsidP="002F58D6">
            <w:pPr>
              <w:spacing w:after="0" w:line="240" w:lineRule="auto"/>
              <w:rPr>
                <w:rFonts w:eastAsia="Times New Roman" w:cstheme="minorHAnsi"/>
                <w:color w:val="000000"/>
                <w:sz w:val="20"/>
                <w:szCs w:val="20"/>
                <w:lang w:eastAsia="it-IT"/>
              </w:rPr>
            </w:pPr>
            <w:r w:rsidRPr="002F58D6">
              <w:rPr>
                <w:rFonts w:eastAsia="Times New Roman" w:cstheme="minorHAnsi"/>
                <w:color w:val="000000"/>
                <w:sz w:val="20"/>
                <w:szCs w:val="20"/>
                <w:lang w:eastAsia="it-IT"/>
              </w:rPr>
              <w:t>Liguria</w:t>
            </w:r>
          </w:p>
        </w:tc>
        <w:tc>
          <w:tcPr>
            <w:tcW w:w="1559" w:type="dxa"/>
            <w:tcBorders>
              <w:top w:val="nil"/>
              <w:left w:val="single" w:sz="4" w:space="0" w:color="auto"/>
              <w:bottom w:val="single" w:sz="8" w:space="0" w:color="auto"/>
              <w:right w:val="single" w:sz="4" w:space="0" w:color="auto"/>
            </w:tcBorders>
            <w:shd w:val="clear" w:color="auto" w:fill="auto"/>
            <w:noWrap/>
            <w:vAlign w:val="center"/>
            <w:hideMark/>
          </w:tcPr>
          <w:p w:rsidR="002F58D6" w:rsidRPr="002F58D6" w:rsidRDefault="002F58D6" w:rsidP="002F58D6">
            <w:pPr>
              <w:spacing w:after="0" w:line="240" w:lineRule="auto"/>
              <w:jc w:val="center"/>
              <w:rPr>
                <w:rFonts w:eastAsia="Times New Roman" w:cstheme="minorHAnsi"/>
                <w:sz w:val="20"/>
                <w:szCs w:val="20"/>
                <w:lang w:eastAsia="it-IT"/>
              </w:rPr>
            </w:pPr>
            <w:r w:rsidRPr="002F58D6">
              <w:rPr>
                <w:rFonts w:eastAsia="Times New Roman" w:cstheme="minorHAnsi"/>
                <w:sz w:val="20"/>
                <w:szCs w:val="20"/>
                <w:lang w:eastAsia="it-IT"/>
              </w:rPr>
              <w:t>2.536,91</w:t>
            </w:r>
          </w:p>
        </w:tc>
        <w:tc>
          <w:tcPr>
            <w:tcW w:w="1985" w:type="dxa"/>
            <w:tcBorders>
              <w:top w:val="nil"/>
              <w:left w:val="nil"/>
              <w:bottom w:val="single" w:sz="8" w:space="0" w:color="auto"/>
              <w:right w:val="single" w:sz="4" w:space="0" w:color="auto"/>
            </w:tcBorders>
            <w:shd w:val="clear" w:color="000000" w:fill="D9D9D9"/>
            <w:noWrap/>
            <w:vAlign w:val="center"/>
            <w:hideMark/>
          </w:tcPr>
          <w:p w:rsidR="002F58D6" w:rsidRPr="002F58D6" w:rsidRDefault="002F58D6" w:rsidP="002F58D6">
            <w:pPr>
              <w:spacing w:after="0" w:line="240" w:lineRule="auto"/>
              <w:jc w:val="center"/>
              <w:rPr>
                <w:rFonts w:eastAsia="Times New Roman" w:cstheme="minorHAnsi"/>
                <w:sz w:val="20"/>
                <w:szCs w:val="20"/>
                <w:lang w:eastAsia="it-IT"/>
              </w:rPr>
            </w:pPr>
            <w:r w:rsidRPr="002F58D6">
              <w:rPr>
                <w:rFonts w:eastAsia="Times New Roman" w:cstheme="minorHAnsi"/>
                <w:sz w:val="20"/>
                <w:szCs w:val="20"/>
                <w:lang w:eastAsia="it-IT"/>
              </w:rPr>
              <w:t>129,75</w:t>
            </w:r>
          </w:p>
        </w:tc>
      </w:tr>
      <w:tr w:rsidR="002F58D6" w:rsidRPr="002F58D6" w:rsidTr="00A85E75">
        <w:trPr>
          <w:trHeight w:val="20"/>
        </w:trPr>
        <w:tc>
          <w:tcPr>
            <w:tcW w:w="1985" w:type="dxa"/>
            <w:tcBorders>
              <w:top w:val="nil"/>
              <w:left w:val="single" w:sz="8" w:space="0" w:color="auto"/>
              <w:bottom w:val="single" w:sz="8" w:space="0" w:color="auto"/>
              <w:right w:val="nil"/>
            </w:tcBorders>
            <w:shd w:val="clear" w:color="auto" w:fill="auto"/>
            <w:noWrap/>
            <w:vAlign w:val="center"/>
            <w:hideMark/>
          </w:tcPr>
          <w:p w:rsidR="002F58D6" w:rsidRPr="002F58D6" w:rsidRDefault="002F58D6" w:rsidP="002F58D6">
            <w:pPr>
              <w:spacing w:after="0" w:line="240" w:lineRule="auto"/>
              <w:rPr>
                <w:rFonts w:eastAsia="Times New Roman" w:cstheme="minorHAnsi"/>
                <w:color w:val="000000"/>
                <w:sz w:val="20"/>
                <w:szCs w:val="20"/>
                <w:lang w:eastAsia="it-IT"/>
              </w:rPr>
            </w:pPr>
            <w:r w:rsidRPr="002F58D6">
              <w:rPr>
                <w:rFonts w:eastAsia="Times New Roman" w:cstheme="minorHAnsi"/>
                <w:color w:val="000000"/>
                <w:sz w:val="20"/>
                <w:szCs w:val="20"/>
                <w:lang w:eastAsia="it-IT"/>
              </w:rPr>
              <w:t>Umbria</w:t>
            </w:r>
          </w:p>
        </w:tc>
        <w:tc>
          <w:tcPr>
            <w:tcW w:w="1559" w:type="dxa"/>
            <w:tcBorders>
              <w:top w:val="nil"/>
              <w:left w:val="single" w:sz="4" w:space="0" w:color="auto"/>
              <w:bottom w:val="single" w:sz="8" w:space="0" w:color="auto"/>
              <w:right w:val="single" w:sz="4" w:space="0" w:color="auto"/>
            </w:tcBorders>
            <w:shd w:val="clear" w:color="auto" w:fill="auto"/>
            <w:noWrap/>
            <w:vAlign w:val="center"/>
            <w:hideMark/>
          </w:tcPr>
          <w:p w:rsidR="002F58D6" w:rsidRPr="002F58D6" w:rsidRDefault="002F58D6" w:rsidP="002F58D6">
            <w:pPr>
              <w:spacing w:after="0" w:line="240" w:lineRule="auto"/>
              <w:jc w:val="center"/>
              <w:rPr>
                <w:rFonts w:eastAsia="Times New Roman" w:cstheme="minorHAnsi"/>
                <w:sz w:val="20"/>
                <w:szCs w:val="20"/>
                <w:lang w:eastAsia="it-IT"/>
              </w:rPr>
            </w:pPr>
            <w:r w:rsidRPr="002F58D6">
              <w:rPr>
                <w:rFonts w:eastAsia="Times New Roman" w:cstheme="minorHAnsi"/>
                <w:sz w:val="20"/>
                <w:szCs w:val="20"/>
                <w:lang w:eastAsia="it-IT"/>
              </w:rPr>
              <w:t>2.282,75</w:t>
            </w:r>
          </w:p>
        </w:tc>
        <w:tc>
          <w:tcPr>
            <w:tcW w:w="1985" w:type="dxa"/>
            <w:tcBorders>
              <w:top w:val="nil"/>
              <w:left w:val="nil"/>
              <w:bottom w:val="single" w:sz="8" w:space="0" w:color="auto"/>
              <w:right w:val="single" w:sz="4" w:space="0" w:color="auto"/>
            </w:tcBorders>
            <w:shd w:val="clear" w:color="000000" w:fill="D9D9D9"/>
            <w:noWrap/>
            <w:vAlign w:val="center"/>
            <w:hideMark/>
          </w:tcPr>
          <w:p w:rsidR="002F58D6" w:rsidRPr="002F58D6" w:rsidRDefault="002F58D6" w:rsidP="002F58D6">
            <w:pPr>
              <w:spacing w:after="0" w:line="240" w:lineRule="auto"/>
              <w:jc w:val="center"/>
              <w:rPr>
                <w:rFonts w:eastAsia="Times New Roman" w:cstheme="minorHAnsi"/>
                <w:sz w:val="20"/>
                <w:szCs w:val="20"/>
                <w:lang w:eastAsia="it-IT"/>
              </w:rPr>
            </w:pPr>
            <w:r w:rsidRPr="002F58D6">
              <w:rPr>
                <w:rFonts w:eastAsia="Times New Roman" w:cstheme="minorHAnsi"/>
                <w:sz w:val="20"/>
                <w:szCs w:val="20"/>
                <w:lang w:eastAsia="it-IT"/>
              </w:rPr>
              <w:t>128,73</w:t>
            </w:r>
          </w:p>
        </w:tc>
      </w:tr>
      <w:tr w:rsidR="002F58D6" w:rsidRPr="002F58D6" w:rsidTr="00A85E75">
        <w:trPr>
          <w:trHeight w:val="20"/>
        </w:trPr>
        <w:tc>
          <w:tcPr>
            <w:tcW w:w="1985" w:type="dxa"/>
            <w:tcBorders>
              <w:top w:val="nil"/>
              <w:left w:val="single" w:sz="8" w:space="0" w:color="auto"/>
              <w:bottom w:val="single" w:sz="8" w:space="0" w:color="auto"/>
              <w:right w:val="nil"/>
            </w:tcBorders>
            <w:shd w:val="clear" w:color="auto" w:fill="auto"/>
            <w:noWrap/>
            <w:vAlign w:val="center"/>
            <w:hideMark/>
          </w:tcPr>
          <w:p w:rsidR="002F58D6" w:rsidRPr="002F58D6" w:rsidRDefault="002F58D6" w:rsidP="002F58D6">
            <w:pPr>
              <w:spacing w:after="0" w:line="240" w:lineRule="auto"/>
              <w:rPr>
                <w:rFonts w:eastAsia="Times New Roman" w:cstheme="minorHAnsi"/>
                <w:color w:val="000000"/>
                <w:sz w:val="20"/>
                <w:szCs w:val="20"/>
                <w:lang w:eastAsia="it-IT"/>
              </w:rPr>
            </w:pPr>
            <w:r w:rsidRPr="002F58D6">
              <w:rPr>
                <w:rFonts w:eastAsia="Times New Roman" w:cstheme="minorHAnsi"/>
                <w:color w:val="000000"/>
                <w:sz w:val="20"/>
                <w:szCs w:val="20"/>
                <w:lang w:eastAsia="it-IT"/>
              </w:rPr>
              <w:t>Abruzzo</w:t>
            </w:r>
          </w:p>
        </w:tc>
        <w:tc>
          <w:tcPr>
            <w:tcW w:w="1559" w:type="dxa"/>
            <w:tcBorders>
              <w:top w:val="nil"/>
              <w:left w:val="single" w:sz="4" w:space="0" w:color="auto"/>
              <w:bottom w:val="single" w:sz="8" w:space="0" w:color="auto"/>
              <w:right w:val="single" w:sz="4" w:space="0" w:color="auto"/>
            </w:tcBorders>
            <w:shd w:val="clear" w:color="auto" w:fill="auto"/>
            <w:noWrap/>
            <w:vAlign w:val="center"/>
            <w:hideMark/>
          </w:tcPr>
          <w:p w:rsidR="002F58D6" w:rsidRPr="002F58D6" w:rsidRDefault="002F58D6" w:rsidP="002F58D6">
            <w:pPr>
              <w:spacing w:after="0" w:line="240" w:lineRule="auto"/>
              <w:jc w:val="center"/>
              <w:rPr>
                <w:rFonts w:eastAsia="Times New Roman" w:cstheme="minorHAnsi"/>
                <w:sz w:val="20"/>
                <w:szCs w:val="20"/>
                <w:lang w:eastAsia="it-IT"/>
              </w:rPr>
            </w:pPr>
            <w:r w:rsidRPr="002F58D6">
              <w:rPr>
                <w:rFonts w:eastAsia="Times New Roman" w:cstheme="minorHAnsi"/>
                <w:sz w:val="20"/>
                <w:szCs w:val="20"/>
                <w:lang w:eastAsia="it-IT"/>
              </w:rPr>
              <w:t>2.284,88</w:t>
            </w:r>
          </w:p>
        </w:tc>
        <w:tc>
          <w:tcPr>
            <w:tcW w:w="1985" w:type="dxa"/>
            <w:tcBorders>
              <w:top w:val="nil"/>
              <w:left w:val="nil"/>
              <w:bottom w:val="single" w:sz="8" w:space="0" w:color="auto"/>
              <w:right w:val="single" w:sz="4" w:space="0" w:color="auto"/>
            </w:tcBorders>
            <w:shd w:val="clear" w:color="000000" w:fill="D9D9D9"/>
            <w:noWrap/>
            <w:vAlign w:val="center"/>
            <w:hideMark/>
          </w:tcPr>
          <w:p w:rsidR="002F58D6" w:rsidRPr="002F58D6" w:rsidRDefault="002F58D6" w:rsidP="002F58D6">
            <w:pPr>
              <w:spacing w:after="0" w:line="240" w:lineRule="auto"/>
              <w:jc w:val="center"/>
              <w:rPr>
                <w:rFonts w:eastAsia="Times New Roman" w:cstheme="minorHAnsi"/>
                <w:sz w:val="20"/>
                <w:szCs w:val="20"/>
                <w:lang w:eastAsia="it-IT"/>
              </w:rPr>
            </w:pPr>
            <w:r w:rsidRPr="002F58D6">
              <w:rPr>
                <w:rFonts w:eastAsia="Times New Roman" w:cstheme="minorHAnsi"/>
                <w:sz w:val="20"/>
                <w:szCs w:val="20"/>
                <w:lang w:eastAsia="it-IT"/>
              </w:rPr>
              <w:t>128,60</w:t>
            </w:r>
          </w:p>
        </w:tc>
      </w:tr>
      <w:tr w:rsidR="002F58D6" w:rsidRPr="002F58D6" w:rsidTr="00A85E75">
        <w:trPr>
          <w:trHeight w:val="20"/>
        </w:trPr>
        <w:tc>
          <w:tcPr>
            <w:tcW w:w="1985" w:type="dxa"/>
            <w:tcBorders>
              <w:top w:val="nil"/>
              <w:left w:val="single" w:sz="8" w:space="0" w:color="auto"/>
              <w:bottom w:val="single" w:sz="8" w:space="0" w:color="auto"/>
              <w:right w:val="nil"/>
            </w:tcBorders>
            <w:shd w:val="clear" w:color="auto" w:fill="auto"/>
            <w:noWrap/>
            <w:vAlign w:val="center"/>
            <w:hideMark/>
          </w:tcPr>
          <w:p w:rsidR="002F58D6" w:rsidRPr="002F58D6" w:rsidRDefault="002F58D6" w:rsidP="002F58D6">
            <w:pPr>
              <w:spacing w:after="0" w:line="240" w:lineRule="auto"/>
              <w:rPr>
                <w:rFonts w:eastAsia="Times New Roman" w:cstheme="minorHAnsi"/>
                <w:color w:val="000000"/>
                <w:sz w:val="20"/>
                <w:szCs w:val="20"/>
                <w:lang w:eastAsia="it-IT"/>
              </w:rPr>
            </w:pPr>
            <w:r w:rsidRPr="002F58D6">
              <w:rPr>
                <w:rFonts w:eastAsia="Times New Roman" w:cstheme="minorHAnsi"/>
                <w:color w:val="000000"/>
                <w:sz w:val="20"/>
                <w:szCs w:val="20"/>
                <w:lang w:eastAsia="it-IT"/>
              </w:rPr>
              <w:t>Marche</w:t>
            </w:r>
          </w:p>
        </w:tc>
        <w:tc>
          <w:tcPr>
            <w:tcW w:w="1559" w:type="dxa"/>
            <w:tcBorders>
              <w:top w:val="nil"/>
              <w:left w:val="single" w:sz="4" w:space="0" w:color="auto"/>
              <w:bottom w:val="single" w:sz="8" w:space="0" w:color="auto"/>
              <w:right w:val="single" w:sz="4" w:space="0" w:color="auto"/>
            </w:tcBorders>
            <w:shd w:val="clear" w:color="auto" w:fill="auto"/>
            <w:noWrap/>
            <w:vAlign w:val="center"/>
            <w:hideMark/>
          </w:tcPr>
          <w:p w:rsidR="002F58D6" w:rsidRPr="002F58D6" w:rsidRDefault="002F58D6" w:rsidP="002F58D6">
            <w:pPr>
              <w:spacing w:after="0" w:line="240" w:lineRule="auto"/>
              <w:jc w:val="center"/>
              <w:rPr>
                <w:rFonts w:eastAsia="Times New Roman" w:cstheme="minorHAnsi"/>
                <w:sz w:val="20"/>
                <w:szCs w:val="20"/>
                <w:lang w:eastAsia="it-IT"/>
              </w:rPr>
            </w:pPr>
            <w:r w:rsidRPr="002F58D6">
              <w:rPr>
                <w:rFonts w:eastAsia="Times New Roman" w:cstheme="minorHAnsi"/>
                <w:sz w:val="20"/>
                <w:szCs w:val="20"/>
                <w:lang w:eastAsia="it-IT"/>
              </w:rPr>
              <w:t>2.346,63</w:t>
            </w:r>
          </w:p>
        </w:tc>
        <w:tc>
          <w:tcPr>
            <w:tcW w:w="1985" w:type="dxa"/>
            <w:tcBorders>
              <w:top w:val="nil"/>
              <w:left w:val="nil"/>
              <w:bottom w:val="single" w:sz="8" w:space="0" w:color="auto"/>
              <w:right w:val="single" w:sz="4" w:space="0" w:color="auto"/>
            </w:tcBorders>
            <w:shd w:val="clear" w:color="000000" w:fill="D9D9D9"/>
            <w:noWrap/>
            <w:vAlign w:val="center"/>
            <w:hideMark/>
          </w:tcPr>
          <w:p w:rsidR="002F58D6" w:rsidRPr="002F58D6" w:rsidRDefault="002F58D6" w:rsidP="002F58D6">
            <w:pPr>
              <w:spacing w:after="0" w:line="240" w:lineRule="auto"/>
              <w:jc w:val="center"/>
              <w:rPr>
                <w:rFonts w:eastAsia="Times New Roman" w:cstheme="minorHAnsi"/>
                <w:sz w:val="20"/>
                <w:szCs w:val="20"/>
                <w:lang w:eastAsia="it-IT"/>
              </w:rPr>
            </w:pPr>
            <w:r w:rsidRPr="002F58D6">
              <w:rPr>
                <w:rFonts w:eastAsia="Times New Roman" w:cstheme="minorHAnsi"/>
                <w:sz w:val="20"/>
                <w:szCs w:val="20"/>
                <w:lang w:eastAsia="it-IT"/>
              </w:rPr>
              <w:t>108,72</w:t>
            </w:r>
          </w:p>
        </w:tc>
      </w:tr>
      <w:tr w:rsidR="002F58D6" w:rsidRPr="002F58D6" w:rsidTr="00A85E75">
        <w:trPr>
          <w:trHeight w:val="20"/>
        </w:trPr>
        <w:tc>
          <w:tcPr>
            <w:tcW w:w="1985" w:type="dxa"/>
            <w:tcBorders>
              <w:top w:val="nil"/>
              <w:left w:val="single" w:sz="8" w:space="0" w:color="auto"/>
              <w:bottom w:val="single" w:sz="8" w:space="0" w:color="auto"/>
              <w:right w:val="nil"/>
            </w:tcBorders>
            <w:shd w:val="clear" w:color="auto" w:fill="auto"/>
            <w:noWrap/>
            <w:vAlign w:val="center"/>
            <w:hideMark/>
          </w:tcPr>
          <w:p w:rsidR="002F58D6" w:rsidRPr="002F58D6" w:rsidRDefault="002F58D6" w:rsidP="002F58D6">
            <w:pPr>
              <w:spacing w:after="0" w:line="240" w:lineRule="auto"/>
              <w:rPr>
                <w:rFonts w:eastAsia="Times New Roman" w:cstheme="minorHAnsi"/>
                <w:color w:val="000000"/>
                <w:sz w:val="20"/>
                <w:szCs w:val="20"/>
                <w:lang w:eastAsia="it-IT"/>
              </w:rPr>
            </w:pPr>
            <w:r w:rsidRPr="002F58D6">
              <w:rPr>
                <w:rFonts w:eastAsia="Times New Roman" w:cstheme="minorHAnsi"/>
                <w:color w:val="000000"/>
                <w:sz w:val="20"/>
                <w:szCs w:val="20"/>
                <w:lang w:eastAsia="it-IT"/>
              </w:rPr>
              <w:t>Molise</w:t>
            </w:r>
          </w:p>
        </w:tc>
        <w:tc>
          <w:tcPr>
            <w:tcW w:w="1559" w:type="dxa"/>
            <w:tcBorders>
              <w:top w:val="nil"/>
              <w:left w:val="single" w:sz="4" w:space="0" w:color="auto"/>
              <w:bottom w:val="single" w:sz="8" w:space="0" w:color="auto"/>
              <w:right w:val="single" w:sz="4" w:space="0" w:color="auto"/>
            </w:tcBorders>
            <w:shd w:val="clear" w:color="auto" w:fill="auto"/>
            <w:noWrap/>
            <w:vAlign w:val="center"/>
            <w:hideMark/>
          </w:tcPr>
          <w:p w:rsidR="002F58D6" w:rsidRPr="002F58D6" w:rsidRDefault="002F58D6" w:rsidP="002F58D6">
            <w:pPr>
              <w:spacing w:after="0" w:line="240" w:lineRule="auto"/>
              <w:jc w:val="center"/>
              <w:rPr>
                <w:rFonts w:eastAsia="Times New Roman" w:cstheme="minorHAnsi"/>
                <w:sz w:val="20"/>
                <w:szCs w:val="20"/>
                <w:lang w:eastAsia="it-IT"/>
              </w:rPr>
            </w:pPr>
            <w:r w:rsidRPr="002F58D6">
              <w:rPr>
                <w:rFonts w:eastAsia="Times New Roman" w:cstheme="minorHAnsi"/>
                <w:sz w:val="20"/>
                <w:szCs w:val="20"/>
                <w:lang w:eastAsia="it-IT"/>
              </w:rPr>
              <w:t>2.208,22</w:t>
            </w:r>
          </w:p>
        </w:tc>
        <w:tc>
          <w:tcPr>
            <w:tcW w:w="1985" w:type="dxa"/>
            <w:tcBorders>
              <w:top w:val="nil"/>
              <w:left w:val="nil"/>
              <w:bottom w:val="single" w:sz="8" w:space="0" w:color="auto"/>
              <w:right w:val="single" w:sz="4" w:space="0" w:color="auto"/>
            </w:tcBorders>
            <w:shd w:val="clear" w:color="000000" w:fill="D9D9D9"/>
            <w:noWrap/>
            <w:vAlign w:val="center"/>
            <w:hideMark/>
          </w:tcPr>
          <w:p w:rsidR="002F58D6" w:rsidRPr="002F58D6" w:rsidRDefault="002F58D6" w:rsidP="002F58D6">
            <w:pPr>
              <w:spacing w:after="0" w:line="240" w:lineRule="auto"/>
              <w:jc w:val="center"/>
              <w:rPr>
                <w:rFonts w:eastAsia="Times New Roman" w:cstheme="minorHAnsi"/>
                <w:sz w:val="20"/>
                <w:szCs w:val="20"/>
                <w:lang w:eastAsia="it-IT"/>
              </w:rPr>
            </w:pPr>
            <w:r w:rsidRPr="002F58D6">
              <w:rPr>
                <w:rFonts w:eastAsia="Times New Roman" w:cstheme="minorHAnsi"/>
                <w:sz w:val="20"/>
                <w:szCs w:val="20"/>
                <w:lang w:eastAsia="it-IT"/>
              </w:rPr>
              <w:t>96,59</w:t>
            </w:r>
          </w:p>
        </w:tc>
      </w:tr>
      <w:tr w:rsidR="00FB5C1D" w:rsidRPr="00FB5C1D" w:rsidTr="00A85E75">
        <w:trPr>
          <w:trHeight w:val="20"/>
        </w:trPr>
        <w:tc>
          <w:tcPr>
            <w:tcW w:w="1985" w:type="dxa"/>
            <w:tcBorders>
              <w:top w:val="nil"/>
              <w:left w:val="single" w:sz="8" w:space="0" w:color="auto"/>
              <w:bottom w:val="single" w:sz="8" w:space="0" w:color="auto"/>
              <w:right w:val="nil"/>
            </w:tcBorders>
            <w:shd w:val="clear" w:color="auto" w:fill="auto"/>
            <w:noWrap/>
            <w:vAlign w:val="center"/>
            <w:hideMark/>
          </w:tcPr>
          <w:p w:rsidR="002F58D6" w:rsidRPr="00FB5C1D" w:rsidRDefault="002F58D6" w:rsidP="002F58D6">
            <w:pPr>
              <w:spacing w:after="0" w:line="240" w:lineRule="auto"/>
              <w:rPr>
                <w:rFonts w:eastAsia="Times New Roman" w:cstheme="minorHAnsi"/>
                <w:b/>
                <w:color w:val="C00000"/>
                <w:sz w:val="20"/>
                <w:szCs w:val="20"/>
                <w:lang w:eastAsia="it-IT"/>
              </w:rPr>
            </w:pPr>
            <w:r w:rsidRPr="00FB5C1D">
              <w:rPr>
                <w:rFonts w:eastAsia="Times New Roman" w:cstheme="minorHAnsi"/>
                <w:b/>
                <w:color w:val="C00000"/>
                <w:sz w:val="20"/>
                <w:szCs w:val="20"/>
                <w:lang w:eastAsia="it-IT"/>
              </w:rPr>
              <w:t>Campania</w:t>
            </w:r>
          </w:p>
        </w:tc>
        <w:tc>
          <w:tcPr>
            <w:tcW w:w="1559" w:type="dxa"/>
            <w:tcBorders>
              <w:top w:val="nil"/>
              <w:left w:val="single" w:sz="4" w:space="0" w:color="auto"/>
              <w:bottom w:val="single" w:sz="8" w:space="0" w:color="auto"/>
              <w:right w:val="single" w:sz="4" w:space="0" w:color="auto"/>
            </w:tcBorders>
            <w:shd w:val="clear" w:color="auto" w:fill="auto"/>
            <w:noWrap/>
            <w:vAlign w:val="center"/>
            <w:hideMark/>
          </w:tcPr>
          <w:p w:rsidR="002F58D6" w:rsidRPr="00FB5C1D" w:rsidRDefault="002F58D6" w:rsidP="002F58D6">
            <w:pPr>
              <w:spacing w:after="0" w:line="240" w:lineRule="auto"/>
              <w:jc w:val="center"/>
              <w:rPr>
                <w:rFonts w:eastAsia="Times New Roman" w:cstheme="minorHAnsi"/>
                <w:b/>
                <w:color w:val="C00000"/>
                <w:sz w:val="20"/>
                <w:szCs w:val="20"/>
                <w:lang w:eastAsia="it-IT"/>
              </w:rPr>
            </w:pPr>
            <w:r w:rsidRPr="00FB5C1D">
              <w:rPr>
                <w:rFonts w:eastAsia="Times New Roman" w:cstheme="minorHAnsi"/>
                <w:b/>
                <w:color w:val="C00000"/>
                <w:sz w:val="20"/>
                <w:szCs w:val="20"/>
                <w:lang w:eastAsia="it-IT"/>
              </w:rPr>
              <w:t>2.121,99</w:t>
            </w:r>
          </w:p>
        </w:tc>
        <w:tc>
          <w:tcPr>
            <w:tcW w:w="1985" w:type="dxa"/>
            <w:tcBorders>
              <w:top w:val="nil"/>
              <w:left w:val="nil"/>
              <w:bottom w:val="single" w:sz="8" w:space="0" w:color="auto"/>
              <w:right w:val="single" w:sz="4" w:space="0" w:color="auto"/>
            </w:tcBorders>
            <w:shd w:val="clear" w:color="000000" w:fill="D9D9D9"/>
            <w:noWrap/>
            <w:vAlign w:val="center"/>
            <w:hideMark/>
          </w:tcPr>
          <w:p w:rsidR="002F58D6" w:rsidRPr="00FB5C1D" w:rsidRDefault="002F58D6" w:rsidP="002F58D6">
            <w:pPr>
              <w:spacing w:after="0" w:line="240" w:lineRule="auto"/>
              <w:jc w:val="center"/>
              <w:rPr>
                <w:rFonts w:eastAsia="Times New Roman" w:cstheme="minorHAnsi"/>
                <w:b/>
                <w:color w:val="C00000"/>
                <w:sz w:val="20"/>
                <w:szCs w:val="20"/>
                <w:lang w:eastAsia="it-IT"/>
              </w:rPr>
            </w:pPr>
            <w:r w:rsidRPr="00FB5C1D">
              <w:rPr>
                <w:rFonts w:eastAsia="Times New Roman" w:cstheme="minorHAnsi"/>
                <w:b/>
                <w:color w:val="C00000"/>
                <w:sz w:val="20"/>
                <w:szCs w:val="20"/>
                <w:lang w:eastAsia="it-IT"/>
              </w:rPr>
              <w:t>95,41</w:t>
            </w:r>
          </w:p>
        </w:tc>
      </w:tr>
      <w:tr w:rsidR="002F58D6" w:rsidRPr="002F58D6" w:rsidTr="00A85E75">
        <w:trPr>
          <w:trHeight w:val="20"/>
        </w:trPr>
        <w:tc>
          <w:tcPr>
            <w:tcW w:w="1985" w:type="dxa"/>
            <w:tcBorders>
              <w:top w:val="nil"/>
              <w:left w:val="single" w:sz="8" w:space="0" w:color="auto"/>
              <w:bottom w:val="single" w:sz="8" w:space="0" w:color="auto"/>
              <w:right w:val="nil"/>
            </w:tcBorders>
            <w:shd w:val="clear" w:color="auto" w:fill="auto"/>
            <w:noWrap/>
            <w:vAlign w:val="center"/>
            <w:hideMark/>
          </w:tcPr>
          <w:p w:rsidR="002F58D6" w:rsidRPr="002F58D6" w:rsidRDefault="002F58D6" w:rsidP="002F58D6">
            <w:pPr>
              <w:spacing w:after="0" w:line="240" w:lineRule="auto"/>
              <w:rPr>
                <w:rFonts w:eastAsia="Times New Roman" w:cstheme="minorHAnsi"/>
                <w:color w:val="000000"/>
                <w:sz w:val="20"/>
                <w:szCs w:val="20"/>
                <w:lang w:eastAsia="it-IT"/>
              </w:rPr>
            </w:pPr>
            <w:r w:rsidRPr="002F58D6">
              <w:rPr>
                <w:rFonts w:eastAsia="Times New Roman" w:cstheme="minorHAnsi"/>
                <w:color w:val="000000"/>
                <w:sz w:val="20"/>
                <w:szCs w:val="20"/>
                <w:lang w:eastAsia="it-IT"/>
              </w:rPr>
              <w:t>Sardegna</w:t>
            </w:r>
          </w:p>
        </w:tc>
        <w:tc>
          <w:tcPr>
            <w:tcW w:w="1559" w:type="dxa"/>
            <w:tcBorders>
              <w:top w:val="nil"/>
              <w:left w:val="single" w:sz="4" w:space="0" w:color="auto"/>
              <w:bottom w:val="single" w:sz="8" w:space="0" w:color="auto"/>
              <w:right w:val="single" w:sz="4" w:space="0" w:color="auto"/>
            </w:tcBorders>
            <w:shd w:val="clear" w:color="auto" w:fill="auto"/>
            <w:noWrap/>
            <w:vAlign w:val="center"/>
            <w:hideMark/>
          </w:tcPr>
          <w:p w:rsidR="002F58D6" w:rsidRPr="002F58D6" w:rsidRDefault="002F58D6" w:rsidP="002F58D6">
            <w:pPr>
              <w:spacing w:after="0" w:line="240" w:lineRule="auto"/>
              <w:jc w:val="center"/>
              <w:rPr>
                <w:rFonts w:eastAsia="Times New Roman" w:cstheme="minorHAnsi"/>
                <w:sz w:val="20"/>
                <w:szCs w:val="20"/>
                <w:lang w:eastAsia="it-IT"/>
              </w:rPr>
            </w:pPr>
            <w:r w:rsidRPr="002F58D6">
              <w:rPr>
                <w:rFonts w:eastAsia="Times New Roman" w:cstheme="minorHAnsi"/>
                <w:sz w:val="20"/>
                <w:szCs w:val="20"/>
                <w:lang w:eastAsia="it-IT"/>
              </w:rPr>
              <w:t>2.158,68</w:t>
            </w:r>
          </w:p>
        </w:tc>
        <w:tc>
          <w:tcPr>
            <w:tcW w:w="1985" w:type="dxa"/>
            <w:tcBorders>
              <w:top w:val="nil"/>
              <w:left w:val="nil"/>
              <w:bottom w:val="single" w:sz="8" w:space="0" w:color="auto"/>
              <w:right w:val="single" w:sz="4" w:space="0" w:color="auto"/>
            </w:tcBorders>
            <w:shd w:val="clear" w:color="000000" w:fill="D9D9D9"/>
            <w:noWrap/>
            <w:vAlign w:val="center"/>
            <w:hideMark/>
          </w:tcPr>
          <w:p w:rsidR="002F58D6" w:rsidRPr="002F58D6" w:rsidRDefault="002F58D6" w:rsidP="002F58D6">
            <w:pPr>
              <w:spacing w:after="0" w:line="240" w:lineRule="auto"/>
              <w:jc w:val="center"/>
              <w:rPr>
                <w:rFonts w:eastAsia="Times New Roman" w:cstheme="minorHAnsi"/>
                <w:sz w:val="20"/>
                <w:szCs w:val="20"/>
                <w:lang w:eastAsia="it-IT"/>
              </w:rPr>
            </w:pPr>
            <w:r w:rsidRPr="002F58D6">
              <w:rPr>
                <w:rFonts w:eastAsia="Times New Roman" w:cstheme="minorHAnsi"/>
                <w:sz w:val="20"/>
                <w:szCs w:val="20"/>
                <w:lang w:eastAsia="it-IT"/>
              </w:rPr>
              <w:t>92,63</w:t>
            </w:r>
          </w:p>
        </w:tc>
      </w:tr>
      <w:tr w:rsidR="002F58D6" w:rsidRPr="002F58D6" w:rsidTr="00A85E75">
        <w:trPr>
          <w:trHeight w:val="20"/>
        </w:trPr>
        <w:tc>
          <w:tcPr>
            <w:tcW w:w="1985" w:type="dxa"/>
            <w:tcBorders>
              <w:top w:val="nil"/>
              <w:left w:val="single" w:sz="8" w:space="0" w:color="auto"/>
              <w:bottom w:val="single" w:sz="8" w:space="0" w:color="auto"/>
              <w:right w:val="nil"/>
            </w:tcBorders>
            <w:shd w:val="clear" w:color="auto" w:fill="auto"/>
            <w:noWrap/>
            <w:vAlign w:val="center"/>
            <w:hideMark/>
          </w:tcPr>
          <w:p w:rsidR="002F58D6" w:rsidRPr="002F58D6" w:rsidRDefault="002F58D6" w:rsidP="002F58D6">
            <w:pPr>
              <w:spacing w:after="0" w:line="240" w:lineRule="auto"/>
              <w:rPr>
                <w:rFonts w:eastAsia="Times New Roman" w:cstheme="minorHAnsi"/>
                <w:color w:val="000000"/>
                <w:sz w:val="20"/>
                <w:szCs w:val="20"/>
                <w:lang w:eastAsia="it-IT"/>
              </w:rPr>
            </w:pPr>
            <w:r w:rsidRPr="002F58D6">
              <w:rPr>
                <w:rFonts w:eastAsia="Times New Roman" w:cstheme="minorHAnsi"/>
                <w:color w:val="000000"/>
                <w:sz w:val="20"/>
                <w:szCs w:val="20"/>
                <w:lang w:eastAsia="it-IT"/>
              </w:rPr>
              <w:t>Puglia</w:t>
            </w:r>
          </w:p>
        </w:tc>
        <w:tc>
          <w:tcPr>
            <w:tcW w:w="1559" w:type="dxa"/>
            <w:tcBorders>
              <w:top w:val="nil"/>
              <w:left w:val="single" w:sz="4" w:space="0" w:color="auto"/>
              <w:bottom w:val="single" w:sz="8" w:space="0" w:color="auto"/>
              <w:right w:val="single" w:sz="4" w:space="0" w:color="auto"/>
            </w:tcBorders>
            <w:shd w:val="clear" w:color="auto" w:fill="auto"/>
            <w:noWrap/>
            <w:vAlign w:val="center"/>
            <w:hideMark/>
          </w:tcPr>
          <w:p w:rsidR="002F58D6" w:rsidRPr="002F58D6" w:rsidRDefault="002F58D6" w:rsidP="002F58D6">
            <w:pPr>
              <w:spacing w:after="0" w:line="240" w:lineRule="auto"/>
              <w:jc w:val="center"/>
              <w:rPr>
                <w:rFonts w:eastAsia="Times New Roman" w:cstheme="minorHAnsi"/>
                <w:sz w:val="20"/>
                <w:szCs w:val="20"/>
                <w:lang w:eastAsia="it-IT"/>
              </w:rPr>
            </w:pPr>
            <w:r w:rsidRPr="002F58D6">
              <w:rPr>
                <w:rFonts w:eastAsia="Times New Roman" w:cstheme="minorHAnsi"/>
                <w:sz w:val="20"/>
                <w:szCs w:val="20"/>
                <w:lang w:eastAsia="it-IT"/>
              </w:rPr>
              <w:t>2.054,98</w:t>
            </w:r>
          </w:p>
        </w:tc>
        <w:tc>
          <w:tcPr>
            <w:tcW w:w="1985" w:type="dxa"/>
            <w:tcBorders>
              <w:top w:val="nil"/>
              <w:left w:val="nil"/>
              <w:bottom w:val="single" w:sz="8" w:space="0" w:color="auto"/>
              <w:right w:val="single" w:sz="4" w:space="0" w:color="auto"/>
            </w:tcBorders>
            <w:shd w:val="clear" w:color="000000" w:fill="D9D9D9"/>
            <w:noWrap/>
            <w:vAlign w:val="center"/>
            <w:hideMark/>
          </w:tcPr>
          <w:p w:rsidR="002F58D6" w:rsidRPr="002F58D6" w:rsidRDefault="002F58D6" w:rsidP="002F58D6">
            <w:pPr>
              <w:spacing w:after="0" w:line="240" w:lineRule="auto"/>
              <w:jc w:val="center"/>
              <w:rPr>
                <w:rFonts w:eastAsia="Times New Roman" w:cstheme="minorHAnsi"/>
                <w:sz w:val="20"/>
                <w:szCs w:val="20"/>
                <w:lang w:eastAsia="it-IT"/>
              </w:rPr>
            </w:pPr>
            <w:r w:rsidRPr="002F58D6">
              <w:rPr>
                <w:rFonts w:eastAsia="Times New Roman" w:cstheme="minorHAnsi"/>
                <w:sz w:val="20"/>
                <w:szCs w:val="20"/>
                <w:lang w:eastAsia="it-IT"/>
              </w:rPr>
              <w:t>74,40</w:t>
            </w:r>
          </w:p>
        </w:tc>
      </w:tr>
      <w:tr w:rsidR="002F58D6" w:rsidRPr="002F58D6" w:rsidTr="00A85E75">
        <w:trPr>
          <w:trHeight w:val="20"/>
        </w:trPr>
        <w:tc>
          <w:tcPr>
            <w:tcW w:w="1985" w:type="dxa"/>
            <w:tcBorders>
              <w:top w:val="nil"/>
              <w:left w:val="single" w:sz="8" w:space="0" w:color="auto"/>
              <w:bottom w:val="single" w:sz="8" w:space="0" w:color="auto"/>
              <w:right w:val="nil"/>
            </w:tcBorders>
            <w:shd w:val="clear" w:color="auto" w:fill="auto"/>
            <w:noWrap/>
            <w:vAlign w:val="center"/>
            <w:hideMark/>
          </w:tcPr>
          <w:p w:rsidR="002F58D6" w:rsidRPr="002F58D6" w:rsidRDefault="002F58D6" w:rsidP="002F58D6">
            <w:pPr>
              <w:spacing w:after="0" w:line="240" w:lineRule="auto"/>
              <w:rPr>
                <w:rFonts w:eastAsia="Times New Roman" w:cstheme="minorHAnsi"/>
                <w:color w:val="000000"/>
                <w:sz w:val="20"/>
                <w:szCs w:val="20"/>
                <w:lang w:eastAsia="it-IT"/>
              </w:rPr>
            </w:pPr>
            <w:r w:rsidRPr="002F58D6">
              <w:rPr>
                <w:rFonts w:eastAsia="Times New Roman" w:cstheme="minorHAnsi"/>
                <w:color w:val="000000"/>
                <w:sz w:val="20"/>
                <w:szCs w:val="20"/>
                <w:lang w:eastAsia="it-IT"/>
              </w:rPr>
              <w:t>Sicilia</w:t>
            </w:r>
          </w:p>
        </w:tc>
        <w:tc>
          <w:tcPr>
            <w:tcW w:w="1559" w:type="dxa"/>
            <w:tcBorders>
              <w:top w:val="nil"/>
              <w:left w:val="single" w:sz="4" w:space="0" w:color="auto"/>
              <w:bottom w:val="single" w:sz="8" w:space="0" w:color="auto"/>
              <w:right w:val="single" w:sz="4" w:space="0" w:color="auto"/>
            </w:tcBorders>
            <w:shd w:val="clear" w:color="auto" w:fill="auto"/>
            <w:noWrap/>
            <w:vAlign w:val="center"/>
            <w:hideMark/>
          </w:tcPr>
          <w:p w:rsidR="002F58D6" w:rsidRPr="002F58D6" w:rsidRDefault="002F58D6" w:rsidP="002F58D6">
            <w:pPr>
              <w:spacing w:after="0" w:line="240" w:lineRule="auto"/>
              <w:jc w:val="center"/>
              <w:rPr>
                <w:rFonts w:eastAsia="Times New Roman" w:cstheme="minorHAnsi"/>
                <w:sz w:val="20"/>
                <w:szCs w:val="20"/>
                <w:lang w:eastAsia="it-IT"/>
              </w:rPr>
            </w:pPr>
            <w:r w:rsidRPr="002F58D6">
              <w:rPr>
                <w:rFonts w:eastAsia="Times New Roman" w:cstheme="minorHAnsi"/>
                <w:sz w:val="20"/>
                <w:szCs w:val="20"/>
                <w:lang w:eastAsia="it-IT"/>
              </w:rPr>
              <w:t>2.035,98</w:t>
            </w:r>
          </w:p>
        </w:tc>
        <w:tc>
          <w:tcPr>
            <w:tcW w:w="1985" w:type="dxa"/>
            <w:tcBorders>
              <w:top w:val="nil"/>
              <w:left w:val="nil"/>
              <w:bottom w:val="single" w:sz="8" w:space="0" w:color="auto"/>
              <w:right w:val="single" w:sz="4" w:space="0" w:color="auto"/>
            </w:tcBorders>
            <w:shd w:val="clear" w:color="000000" w:fill="D9D9D9"/>
            <w:noWrap/>
            <w:vAlign w:val="center"/>
            <w:hideMark/>
          </w:tcPr>
          <w:p w:rsidR="002F58D6" w:rsidRPr="002F58D6" w:rsidRDefault="002F58D6" w:rsidP="002F58D6">
            <w:pPr>
              <w:spacing w:after="0" w:line="240" w:lineRule="auto"/>
              <w:jc w:val="center"/>
              <w:rPr>
                <w:rFonts w:eastAsia="Times New Roman" w:cstheme="minorHAnsi"/>
                <w:sz w:val="20"/>
                <w:szCs w:val="20"/>
                <w:lang w:eastAsia="it-IT"/>
              </w:rPr>
            </w:pPr>
            <w:r w:rsidRPr="002F58D6">
              <w:rPr>
                <w:rFonts w:eastAsia="Times New Roman" w:cstheme="minorHAnsi"/>
                <w:sz w:val="20"/>
                <w:szCs w:val="20"/>
                <w:lang w:eastAsia="it-IT"/>
              </w:rPr>
              <w:t>68,59</w:t>
            </w:r>
          </w:p>
        </w:tc>
      </w:tr>
      <w:tr w:rsidR="002F58D6" w:rsidRPr="002F58D6" w:rsidTr="00A85E75">
        <w:trPr>
          <w:trHeight w:val="20"/>
        </w:trPr>
        <w:tc>
          <w:tcPr>
            <w:tcW w:w="1985" w:type="dxa"/>
            <w:tcBorders>
              <w:top w:val="nil"/>
              <w:left w:val="single" w:sz="8" w:space="0" w:color="auto"/>
              <w:bottom w:val="single" w:sz="8" w:space="0" w:color="auto"/>
              <w:right w:val="nil"/>
            </w:tcBorders>
            <w:shd w:val="clear" w:color="auto" w:fill="auto"/>
            <w:noWrap/>
            <w:vAlign w:val="center"/>
            <w:hideMark/>
          </w:tcPr>
          <w:p w:rsidR="002F58D6" w:rsidRPr="002F58D6" w:rsidRDefault="002F58D6" w:rsidP="002F58D6">
            <w:pPr>
              <w:spacing w:after="0" w:line="240" w:lineRule="auto"/>
              <w:rPr>
                <w:rFonts w:eastAsia="Times New Roman" w:cstheme="minorHAnsi"/>
                <w:color w:val="000000"/>
                <w:sz w:val="20"/>
                <w:szCs w:val="20"/>
                <w:lang w:eastAsia="it-IT"/>
              </w:rPr>
            </w:pPr>
            <w:r w:rsidRPr="002F58D6">
              <w:rPr>
                <w:rFonts w:eastAsia="Times New Roman" w:cstheme="minorHAnsi"/>
                <w:color w:val="000000"/>
                <w:sz w:val="20"/>
                <w:szCs w:val="20"/>
                <w:lang w:eastAsia="it-IT"/>
              </w:rPr>
              <w:t>Basilicata</w:t>
            </w:r>
          </w:p>
        </w:tc>
        <w:tc>
          <w:tcPr>
            <w:tcW w:w="1559" w:type="dxa"/>
            <w:tcBorders>
              <w:top w:val="nil"/>
              <w:left w:val="single" w:sz="4" w:space="0" w:color="auto"/>
              <w:bottom w:val="single" w:sz="8" w:space="0" w:color="auto"/>
              <w:right w:val="single" w:sz="4" w:space="0" w:color="auto"/>
            </w:tcBorders>
            <w:shd w:val="clear" w:color="auto" w:fill="auto"/>
            <w:noWrap/>
            <w:vAlign w:val="center"/>
            <w:hideMark/>
          </w:tcPr>
          <w:p w:rsidR="002F58D6" w:rsidRPr="002F58D6" w:rsidRDefault="002F58D6" w:rsidP="002F58D6">
            <w:pPr>
              <w:spacing w:after="0" w:line="240" w:lineRule="auto"/>
              <w:jc w:val="center"/>
              <w:rPr>
                <w:rFonts w:eastAsia="Times New Roman" w:cstheme="minorHAnsi"/>
                <w:sz w:val="20"/>
                <w:szCs w:val="20"/>
                <w:lang w:eastAsia="it-IT"/>
              </w:rPr>
            </w:pPr>
            <w:r w:rsidRPr="002F58D6">
              <w:rPr>
                <w:rFonts w:eastAsia="Times New Roman" w:cstheme="minorHAnsi"/>
                <w:sz w:val="20"/>
                <w:szCs w:val="20"/>
                <w:lang w:eastAsia="it-IT"/>
              </w:rPr>
              <w:t>2.078,69</w:t>
            </w:r>
          </w:p>
        </w:tc>
        <w:tc>
          <w:tcPr>
            <w:tcW w:w="1985" w:type="dxa"/>
            <w:tcBorders>
              <w:top w:val="nil"/>
              <w:left w:val="nil"/>
              <w:bottom w:val="single" w:sz="8" w:space="0" w:color="auto"/>
              <w:right w:val="single" w:sz="4" w:space="0" w:color="auto"/>
            </w:tcBorders>
            <w:shd w:val="clear" w:color="000000" w:fill="D9D9D9"/>
            <w:noWrap/>
            <w:vAlign w:val="center"/>
            <w:hideMark/>
          </w:tcPr>
          <w:p w:rsidR="002F58D6" w:rsidRPr="002F58D6" w:rsidRDefault="002F58D6" w:rsidP="002F58D6">
            <w:pPr>
              <w:spacing w:after="0" w:line="240" w:lineRule="auto"/>
              <w:jc w:val="center"/>
              <w:rPr>
                <w:rFonts w:eastAsia="Times New Roman" w:cstheme="minorHAnsi"/>
                <w:sz w:val="20"/>
                <w:szCs w:val="20"/>
                <w:lang w:eastAsia="it-IT"/>
              </w:rPr>
            </w:pPr>
            <w:r w:rsidRPr="002F58D6">
              <w:rPr>
                <w:rFonts w:eastAsia="Times New Roman" w:cstheme="minorHAnsi"/>
                <w:sz w:val="20"/>
                <w:szCs w:val="20"/>
                <w:lang w:eastAsia="it-IT"/>
              </w:rPr>
              <w:t>67,11</w:t>
            </w:r>
          </w:p>
        </w:tc>
      </w:tr>
      <w:tr w:rsidR="002F58D6" w:rsidRPr="002F58D6" w:rsidTr="00A85E75">
        <w:trPr>
          <w:trHeight w:val="20"/>
        </w:trPr>
        <w:tc>
          <w:tcPr>
            <w:tcW w:w="1985" w:type="dxa"/>
            <w:tcBorders>
              <w:top w:val="nil"/>
              <w:left w:val="single" w:sz="8" w:space="0" w:color="auto"/>
              <w:bottom w:val="single" w:sz="8" w:space="0" w:color="auto"/>
              <w:right w:val="nil"/>
            </w:tcBorders>
            <w:shd w:val="clear" w:color="auto" w:fill="auto"/>
            <w:noWrap/>
            <w:vAlign w:val="center"/>
            <w:hideMark/>
          </w:tcPr>
          <w:p w:rsidR="002F58D6" w:rsidRPr="002F58D6" w:rsidRDefault="002F58D6" w:rsidP="002F58D6">
            <w:pPr>
              <w:spacing w:after="0" w:line="240" w:lineRule="auto"/>
              <w:rPr>
                <w:rFonts w:eastAsia="Times New Roman" w:cstheme="minorHAnsi"/>
                <w:color w:val="000000"/>
                <w:sz w:val="20"/>
                <w:szCs w:val="20"/>
                <w:lang w:eastAsia="it-IT"/>
              </w:rPr>
            </w:pPr>
            <w:r w:rsidRPr="002F58D6">
              <w:rPr>
                <w:rFonts w:eastAsia="Times New Roman" w:cstheme="minorHAnsi"/>
                <w:color w:val="000000"/>
                <w:sz w:val="20"/>
                <w:szCs w:val="20"/>
                <w:lang w:eastAsia="it-IT"/>
              </w:rPr>
              <w:t>Calabria</w:t>
            </w:r>
          </w:p>
        </w:tc>
        <w:tc>
          <w:tcPr>
            <w:tcW w:w="1559" w:type="dxa"/>
            <w:tcBorders>
              <w:top w:val="nil"/>
              <w:left w:val="single" w:sz="4" w:space="0" w:color="auto"/>
              <w:bottom w:val="single" w:sz="8" w:space="0" w:color="auto"/>
              <w:right w:val="single" w:sz="4" w:space="0" w:color="auto"/>
            </w:tcBorders>
            <w:shd w:val="clear" w:color="auto" w:fill="auto"/>
            <w:noWrap/>
            <w:vAlign w:val="center"/>
            <w:hideMark/>
          </w:tcPr>
          <w:p w:rsidR="002F58D6" w:rsidRPr="002F58D6" w:rsidRDefault="002F58D6" w:rsidP="002F58D6">
            <w:pPr>
              <w:spacing w:after="0" w:line="240" w:lineRule="auto"/>
              <w:jc w:val="center"/>
              <w:rPr>
                <w:rFonts w:eastAsia="Times New Roman" w:cstheme="minorHAnsi"/>
                <w:sz w:val="20"/>
                <w:szCs w:val="20"/>
                <w:lang w:eastAsia="it-IT"/>
              </w:rPr>
            </w:pPr>
            <w:r w:rsidRPr="002F58D6">
              <w:rPr>
                <w:rFonts w:eastAsia="Times New Roman" w:cstheme="minorHAnsi"/>
                <w:sz w:val="20"/>
                <w:szCs w:val="20"/>
                <w:lang w:eastAsia="it-IT"/>
              </w:rPr>
              <w:t>1.901,71</w:t>
            </w:r>
          </w:p>
        </w:tc>
        <w:tc>
          <w:tcPr>
            <w:tcW w:w="1985" w:type="dxa"/>
            <w:tcBorders>
              <w:top w:val="nil"/>
              <w:left w:val="nil"/>
              <w:bottom w:val="single" w:sz="8" w:space="0" w:color="auto"/>
              <w:right w:val="single" w:sz="4" w:space="0" w:color="auto"/>
            </w:tcBorders>
            <w:shd w:val="clear" w:color="000000" w:fill="D9D9D9"/>
            <w:noWrap/>
            <w:vAlign w:val="center"/>
            <w:hideMark/>
          </w:tcPr>
          <w:p w:rsidR="002F58D6" w:rsidRPr="002F58D6" w:rsidRDefault="002F58D6" w:rsidP="002F58D6">
            <w:pPr>
              <w:spacing w:after="0" w:line="240" w:lineRule="auto"/>
              <w:jc w:val="center"/>
              <w:rPr>
                <w:rFonts w:eastAsia="Times New Roman" w:cstheme="minorHAnsi"/>
                <w:sz w:val="20"/>
                <w:szCs w:val="20"/>
                <w:lang w:eastAsia="it-IT"/>
              </w:rPr>
            </w:pPr>
            <w:r w:rsidRPr="002F58D6">
              <w:rPr>
                <w:rFonts w:eastAsia="Times New Roman" w:cstheme="minorHAnsi"/>
                <w:sz w:val="20"/>
                <w:szCs w:val="20"/>
                <w:lang w:eastAsia="it-IT"/>
              </w:rPr>
              <w:t>64,37</w:t>
            </w:r>
          </w:p>
        </w:tc>
      </w:tr>
      <w:tr w:rsidR="002F58D6" w:rsidRPr="002F58D6" w:rsidTr="00A85E75">
        <w:trPr>
          <w:trHeight w:val="20"/>
        </w:trPr>
        <w:tc>
          <w:tcPr>
            <w:tcW w:w="1985" w:type="dxa"/>
            <w:tcBorders>
              <w:top w:val="nil"/>
              <w:left w:val="single" w:sz="8" w:space="0" w:color="auto"/>
              <w:bottom w:val="single" w:sz="8" w:space="0" w:color="auto"/>
              <w:right w:val="nil"/>
            </w:tcBorders>
            <w:shd w:val="clear" w:color="000000" w:fill="1F497D"/>
            <w:noWrap/>
            <w:vAlign w:val="center"/>
            <w:hideMark/>
          </w:tcPr>
          <w:p w:rsidR="002F58D6" w:rsidRPr="002F58D6" w:rsidRDefault="002F58D6" w:rsidP="002F58D6">
            <w:pPr>
              <w:spacing w:after="0" w:line="240" w:lineRule="auto"/>
              <w:rPr>
                <w:rFonts w:eastAsia="Times New Roman" w:cstheme="minorHAnsi"/>
                <w:b/>
                <w:bCs/>
                <w:color w:val="FFFFFF"/>
                <w:sz w:val="20"/>
                <w:szCs w:val="20"/>
                <w:lang w:eastAsia="it-IT"/>
              </w:rPr>
            </w:pPr>
            <w:r w:rsidRPr="002F58D6">
              <w:rPr>
                <w:rFonts w:eastAsia="Times New Roman" w:cstheme="minorHAnsi"/>
                <w:b/>
                <w:bCs/>
                <w:color w:val="FFFFFF"/>
                <w:sz w:val="20"/>
                <w:szCs w:val="20"/>
                <w:lang w:eastAsia="it-IT"/>
              </w:rPr>
              <w:t>Italia</w:t>
            </w:r>
          </w:p>
        </w:tc>
        <w:tc>
          <w:tcPr>
            <w:tcW w:w="1559" w:type="dxa"/>
            <w:tcBorders>
              <w:top w:val="nil"/>
              <w:left w:val="single" w:sz="4" w:space="0" w:color="auto"/>
              <w:bottom w:val="single" w:sz="8" w:space="0" w:color="auto"/>
              <w:right w:val="single" w:sz="4" w:space="0" w:color="auto"/>
            </w:tcBorders>
            <w:shd w:val="clear" w:color="000000" w:fill="1F497D"/>
            <w:noWrap/>
            <w:vAlign w:val="center"/>
            <w:hideMark/>
          </w:tcPr>
          <w:p w:rsidR="002F58D6" w:rsidRPr="002F58D6" w:rsidRDefault="002F58D6" w:rsidP="002F58D6">
            <w:pPr>
              <w:spacing w:after="0" w:line="240" w:lineRule="auto"/>
              <w:jc w:val="center"/>
              <w:rPr>
                <w:rFonts w:eastAsia="Times New Roman" w:cstheme="minorHAnsi"/>
                <w:b/>
                <w:bCs/>
                <w:color w:val="FFFFFF"/>
                <w:sz w:val="20"/>
                <w:szCs w:val="20"/>
                <w:lang w:eastAsia="it-IT"/>
              </w:rPr>
            </w:pPr>
            <w:r w:rsidRPr="002F58D6">
              <w:rPr>
                <w:rFonts w:eastAsia="Times New Roman" w:cstheme="minorHAnsi"/>
                <w:b/>
                <w:bCs/>
                <w:color w:val="FFFFFF"/>
                <w:sz w:val="20"/>
                <w:szCs w:val="20"/>
                <w:lang w:eastAsia="it-IT"/>
              </w:rPr>
              <w:t>2.571,24</w:t>
            </w:r>
          </w:p>
        </w:tc>
        <w:tc>
          <w:tcPr>
            <w:tcW w:w="1985" w:type="dxa"/>
            <w:tcBorders>
              <w:top w:val="nil"/>
              <w:left w:val="nil"/>
              <w:bottom w:val="single" w:sz="8" w:space="0" w:color="auto"/>
              <w:right w:val="single" w:sz="4" w:space="0" w:color="auto"/>
            </w:tcBorders>
            <w:shd w:val="clear" w:color="000000" w:fill="1F497D"/>
            <w:noWrap/>
            <w:vAlign w:val="center"/>
            <w:hideMark/>
          </w:tcPr>
          <w:p w:rsidR="002F58D6" w:rsidRPr="002F58D6" w:rsidRDefault="002F58D6" w:rsidP="002F58D6">
            <w:pPr>
              <w:spacing w:after="0" w:line="240" w:lineRule="auto"/>
              <w:jc w:val="center"/>
              <w:rPr>
                <w:rFonts w:eastAsia="Times New Roman" w:cstheme="minorHAnsi"/>
                <w:b/>
                <w:bCs/>
                <w:color w:val="FFFFFF"/>
                <w:sz w:val="20"/>
                <w:szCs w:val="20"/>
                <w:lang w:eastAsia="it-IT"/>
              </w:rPr>
            </w:pPr>
            <w:r w:rsidRPr="002F58D6">
              <w:rPr>
                <w:rFonts w:eastAsia="Times New Roman" w:cstheme="minorHAnsi"/>
                <w:b/>
                <w:bCs/>
                <w:color w:val="FFFFFF"/>
                <w:sz w:val="20"/>
                <w:szCs w:val="20"/>
                <w:lang w:eastAsia="it-IT"/>
              </w:rPr>
              <w:t>127,71</w:t>
            </w:r>
          </w:p>
        </w:tc>
      </w:tr>
    </w:tbl>
    <w:p w:rsidR="002A3F17" w:rsidRPr="00D762F9" w:rsidRDefault="00887DD2" w:rsidP="00887DD2">
      <w:pPr>
        <w:spacing w:after="120" w:line="276" w:lineRule="auto"/>
      </w:pPr>
      <w:r>
        <w:rPr>
          <w:sz w:val="18"/>
          <w:szCs w:val="18"/>
        </w:rPr>
        <w:t>F</w:t>
      </w:r>
      <w:r w:rsidR="003F3F06" w:rsidRPr="00D762F9">
        <w:rPr>
          <w:sz w:val="18"/>
          <w:szCs w:val="18"/>
        </w:rPr>
        <w:t>onte: Istat</w:t>
      </w:r>
    </w:p>
    <w:p w:rsidR="00424083" w:rsidRDefault="00424083" w:rsidP="006A53A1">
      <w:pPr>
        <w:spacing w:after="0" w:line="276" w:lineRule="auto"/>
        <w:jc w:val="both"/>
        <w:rPr>
          <w:sz w:val="24"/>
        </w:rPr>
      </w:pPr>
    </w:p>
    <w:p w:rsidR="006A53A1" w:rsidRPr="00CD2E9B" w:rsidRDefault="006A53A1" w:rsidP="006A53A1">
      <w:pPr>
        <w:spacing w:after="0" w:line="276" w:lineRule="auto"/>
        <w:jc w:val="both"/>
        <w:rPr>
          <w:sz w:val="24"/>
        </w:rPr>
      </w:pPr>
      <w:r w:rsidRPr="00CD2E9B">
        <w:rPr>
          <w:sz w:val="24"/>
        </w:rPr>
        <w:t xml:space="preserve">Per quanto riguarda lo </w:t>
      </w:r>
      <w:r w:rsidRPr="00CD2E9B">
        <w:rPr>
          <w:b/>
          <w:sz w:val="24"/>
          <w:u w:val="single"/>
        </w:rPr>
        <w:t>spettacolo dal vivo</w:t>
      </w:r>
      <w:r w:rsidRPr="00CD2E9B">
        <w:rPr>
          <w:sz w:val="24"/>
        </w:rPr>
        <w:t xml:space="preserve"> nel 2018</w:t>
      </w:r>
      <w:r w:rsidR="00CD2E9B">
        <w:rPr>
          <w:sz w:val="24"/>
        </w:rPr>
        <w:t>, nel territorio nazionale,</w:t>
      </w:r>
      <w:r w:rsidRPr="00CD2E9B">
        <w:rPr>
          <w:sz w:val="24"/>
        </w:rPr>
        <w:t xml:space="preserve"> si registra da un lato una crescita della </w:t>
      </w:r>
      <w:r w:rsidRPr="00CD2E9B">
        <w:rPr>
          <w:b/>
          <w:sz w:val="24"/>
        </w:rPr>
        <w:t>spesa al botteghino (+2,9%)</w:t>
      </w:r>
      <w:r w:rsidRPr="00CD2E9B">
        <w:rPr>
          <w:sz w:val="24"/>
        </w:rPr>
        <w:t xml:space="preserve"> e della </w:t>
      </w:r>
      <w:r w:rsidRPr="00CD2E9B">
        <w:rPr>
          <w:b/>
          <w:sz w:val="24"/>
        </w:rPr>
        <w:t>spesa del pubblico (+3,7%)</w:t>
      </w:r>
      <w:r w:rsidR="00B82E77" w:rsidRPr="00CD2E9B">
        <w:rPr>
          <w:sz w:val="24"/>
        </w:rPr>
        <w:t xml:space="preserve"> - </w:t>
      </w:r>
      <w:r w:rsidRPr="00CD2E9B">
        <w:rPr>
          <w:sz w:val="24"/>
        </w:rPr>
        <w:t>che comprende oltre all’acquisto di biglietti e abbonamenti anche altre voci, dai costi di prevendita dei biglietti, alle prenotazioni di tavoli, dal servizio guardaroba alle consumazioni al bar</w:t>
      </w:r>
      <w:r w:rsidR="00B82E77" w:rsidRPr="00CD2E9B">
        <w:rPr>
          <w:sz w:val="24"/>
        </w:rPr>
        <w:t xml:space="preserve"> -</w:t>
      </w:r>
      <w:r w:rsidRPr="00CD2E9B">
        <w:rPr>
          <w:sz w:val="24"/>
        </w:rPr>
        <w:t>; dall’altro una leggera flessione dell’</w:t>
      </w:r>
      <w:r w:rsidRPr="00CD2E9B">
        <w:rPr>
          <w:b/>
          <w:sz w:val="24"/>
        </w:rPr>
        <w:t>attività di spettacolo (-0,3%)</w:t>
      </w:r>
      <w:r w:rsidRPr="00CD2E9B">
        <w:rPr>
          <w:sz w:val="24"/>
        </w:rPr>
        <w:t xml:space="preserve"> e un netto calo negli </w:t>
      </w:r>
      <w:r w:rsidRPr="00CD2E9B">
        <w:rPr>
          <w:b/>
          <w:sz w:val="24"/>
        </w:rPr>
        <w:t>ingressi (-3,2%)</w:t>
      </w:r>
      <w:r w:rsidRPr="00CD2E9B">
        <w:rPr>
          <w:sz w:val="24"/>
        </w:rPr>
        <w:t>. (</w:t>
      </w:r>
      <w:proofErr w:type="gramStart"/>
      <w:r w:rsidRPr="00CD2E9B">
        <w:rPr>
          <w:sz w:val="24"/>
        </w:rPr>
        <w:t>fonte</w:t>
      </w:r>
      <w:proofErr w:type="gramEnd"/>
      <w:r w:rsidRPr="00CD2E9B">
        <w:rPr>
          <w:sz w:val="24"/>
        </w:rPr>
        <w:t>: SIAE).</w:t>
      </w:r>
    </w:p>
    <w:p w:rsidR="006A53A1" w:rsidRDefault="006A53A1" w:rsidP="006A53A1">
      <w:pPr>
        <w:spacing w:before="120" w:after="0" w:line="276" w:lineRule="auto"/>
        <w:jc w:val="both"/>
        <w:rPr>
          <w:sz w:val="24"/>
        </w:rPr>
      </w:pPr>
      <w:r w:rsidRPr="00C9784B">
        <w:rPr>
          <w:sz w:val="24"/>
        </w:rPr>
        <w:t xml:space="preserve">In </w:t>
      </w:r>
      <w:r w:rsidR="00C9784B" w:rsidRPr="00C9784B">
        <w:rPr>
          <w:b/>
          <w:sz w:val="24"/>
          <w:u w:val="single"/>
        </w:rPr>
        <w:t xml:space="preserve">Campania </w:t>
      </w:r>
      <w:r w:rsidRPr="00C9784B">
        <w:rPr>
          <w:sz w:val="24"/>
        </w:rPr>
        <w:t xml:space="preserve">i dati </w:t>
      </w:r>
      <w:r w:rsidR="00C9784B">
        <w:rPr>
          <w:sz w:val="24"/>
        </w:rPr>
        <w:t>sono di segno opposto rispetto alle</w:t>
      </w:r>
      <w:r w:rsidRPr="00C9784B">
        <w:rPr>
          <w:sz w:val="24"/>
        </w:rPr>
        <w:t xml:space="preserve"> tendenze nazionali</w:t>
      </w:r>
      <w:r w:rsidR="00C9784B">
        <w:rPr>
          <w:sz w:val="24"/>
        </w:rPr>
        <w:t xml:space="preserve"> in senso negativo</w:t>
      </w:r>
      <w:r w:rsidRPr="00C9784B">
        <w:rPr>
          <w:sz w:val="24"/>
        </w:rPr>
        <w:t xml:space="preserve">: il </w:t>
      </w:r>
      <w:r w:rsidRPr="00C9784B">
        <w:rPr>
          <w:b/>
          <w:sz w:val="24"/>
        </w:rPr>
        <w:t xml:space="preserve">numero di spettacoli è </w:t>
      </w:r>
      <w:r w:rsidR="00C9784B" w:rsidRPr="00C9784B">
        <w:rPr>
          <w:b/>
          <w:sz w:val="24"/>
        </w:rPr>
        <w:t>sostanzialmente stabile +0,79</w:t>
      </w:r>
      <w:r w:rsidRPr="00C9784B">
        <w:rPr>
          <w:b/>
          <w:sz w:val="24"/>
        </w:rPr>
        <w:t>%,</w:t>
      </w:r>
      <w:r w:rsidRPr="00C9784B">
        <w:rPr>
          <w:sz w:val="24"/>
        </w:rPr>
        <w:t xml:space="preserve"> </w:t>
      </w:r>
      <w:r w:rsidR="00C9784B" w:rsidRPr="00C9784B">
        <w:rPr>
          <w:sz w:val="24"/>
        </w:rPr>
        <w:t xml:space="preserve">ma sono in forte calo </w:t>
      </w:r>
      <w:r w:rsidRPr="00C9784B">
        <w:rPr>
          <w:sz w:val="24"/>
        </w:rPr>
        <w:t xml:space="preserve">gli </w:t>
      </w:r>
      <w:r w:rsidR="00C9784B" w:rsidRPr="00C9784B">
        <w:rPr>
          <w:b/>
          <w:sz w:val="24"/>
        </w:rPr>
        <w:t>ingressi, -12,3</w:t>
      </w:r>
      <w:r w:rsidRPr="00C9784B">
        <w:rPr>
          <w:b/>
          <w:sz w:val="24"/>
        </w:rPr>
        <w:t>%</w:t>
      </w:r>
      <w:r w:rsidR="00C9784B" w:rsidRPr="00C9784B">
        <w:rPr>
          <w:b/>
          <w:sz w:val="24"/>
        </w:rPr>
        <w:t>,</w:t>
      </w:r>
      <w:r w:rsidR="00B82E77" w:rsidRPr="00C9784B">
        <w:rPr>
          <w:sz w:val="24"/>
        </w:rPr>
        <w:t xml:space="preserve"> </w:t>
      </w:r>
      <w:r w:rsidR="00C9784B" w:rsidRPr="00C9784B">
        <w:rPr>
          <w:sz w:val="24"/>
        </w:rPr>
        <w:t xml:space="preserve">la </w:t>
      </w:r>
      <w:r w:rsidR="00C9784B" w:rsidRPr="00C9784B">
        <w:rPr>
          <w:b/>
          <w:sz w:val="24"/>
        </w:rPr>
        <w:t>spesa al botteghino</w:t>
      </w:r>
      <w:r w:rsidR="00C9784B" w:rsidRPr="00C9784B">
        <w:rPr>
          <w:sz w:val="24"/>
        </w:rPr>
        <w:t xml:space="preserve">, </w:t>
      </w:r>
      <w:r w:rsidR="00C9784B" w:rsidRPr="00C9784B">
        <w:rPr>
          <w:b/>
          <w:sz w:val="24"/>
        </w:rPr>
        <w:t>-14%</w:t>
      </w:r>
      <w:r w:rsidR="00C9784B" w:rsidRPr="00C9784B">
        <w:rPr>
          <w:sz w:val="24"/>
        </w:rPr>
        <w:t xml:space="preserve"> e le </w:t>
      </w:r>
      <w:r w:rsidR="00C9784B" w:rsidRPr="00C9784B">
        <w:rPr>
          <w:b/>
          <w:sz w:val="24"/>
        </w:rPr>
        <w:t>presenze, -10,8%</w:t>
      </w:r>
      <w:r w:rsidR="00C9784B" w:rsidRPr="00C9784B">
        <w:rPr>
          <w:sz w:val="24"/>
        </w:rPr>
        <w:t>, con perdite molto significative in tutti gli ambiti, dal cinema al teatro. L’unico settore con qualche segno positivo è quello dei concerti che ad esempio negli ingressi raggiunge un +7%</w:t>
      </w:r>
      <w:r w:rsidR="00B375AD" w:rsidRPr="00C9784B">
        <w:rPr>
          <w:sz w:val="24"/>
        </w:rPr>
        <w:t>.</w:t>
      </w:r>
      <w:r w:rsidR="00AA1FDE">
        <w:rPr>
          <w:sz w:val="24"/>
        </w:rPr>
        <w:t xml:space="preserve"> </w:t>
      </w:r>
      <w:bookmarkStart w:id="0" w:name="_GoBack"/>
      <w:bookmarkEnd w:id="0"/>
      <w:r w:rsidR="00AA1FDE" w:rsidRPr="00CD2E9B">
        <w:rPr>
          <w:sz w:val="24"/>
        </w:rPr>
        <w:t>(fonte: SIAE).</w:t>
      </w:r>
    </w:p>
    <w:p w:rsidR="006A53A1" w:rsidRDefault="006A53A1" w:rsidP="009600EF">
      <w:pPr>
        <w:spacing w:after="0" w:line="276" w:lineRule="auto"/>
        <w:jc w:val="both"/>
        <w:rPr>
          <w:sz w:val="24"/>
        </w:rPr>
      </w:pPr>
    </w:p>
    <w:p w:rsidR="008A1430" w:rsidRDefault="00CA29CB" w:rsidP="0032092F">
      <w:pPr>
        <w:spacing w:after="0" w:line="276" w:lineRule="auto"/>
        <w:jc w:val="both"/>
        <w:rPr>
          <w:sz w:val="24"/>
        </w:rPr>
      </w:pPr>
      <w:r w:rsidRPr="00CA29CB">
        <w:rPr>
          <w:sz w:val="24"/>
        </w:rPr>
        <w:t xml:space="preserve">Per quanto concerne la </w:t>
      </w:r>
      <w:r w:rsidRPr="00D9078D">
        <w:rPr>
          <w:b/>
          <w:sz w:val="24"/>
          <w:u w:val="single"/>
        </w:rPr>
        <w:t>fruizione culturale</w:t>
      </w:r>
      <w:r w:rsidR="00692A6A">
        <w:rPr>
          <w:sz w:val="24"/>
        </w:rPr>
        <w:t xml:space="preserve"> </w:t>
      </w:r>
      <w:r w:rsidR="00EC0B23">
        <w:rPr>
          <w:sz w:val="24"/>
        </w:rPr>
        <w:t>(i residenti che fruiscono di attività teatrali almeno una volta l’</w:t>
      </w:r>
      <w:r w:rsidR="0032092F">
        <w:rPr>
          <w:sz w:val="24"/>
        </w:rPr>
        <w:t>anno) i dati dimostrano, ancora una volta un divario</w:t>
      </w:r>
      <w:r w:rsidR="00D9078D" w:rsidRPr="00CA29CB">
        <w:rPr>
          <w:sz w:val="24"/>
        </w:rPr>
        <w:t xml:space="preserve"> consolidato il </w:t>
      </w:r>
      <w:r w:rsidR="00D9078D" w:rsidRPr="00D9078D">
        <w:rPr>
          <w:b/>
          <w:sz w:val="24"/>
        </w:rPr>
        <w:t>divario tra regioni del Centro-Nord e del Mezzogiorno</w:t>
      </w:r>
      <w:r w:rsidR="00D9078D" w:rsidRPr="00CA29CB">
        <w:rPr>
          <w:sz w:val="24"/>
        </w:rPr>
        <w:t xml:space="preserve"> in particolare nel numero di visitatori di musei, mostre, teatri e siti archeologici, con le prime che presentano un numero di fruitori stabilmente più elevato delle seconde (in alcuni casi anche doppio o triplo). </w:t>
      </w:r>
    </w:p>
    <w:p w:rsidR="00F8363D" w:rsidRDefault="00F8363D" w:rsidP="00CA29CB">
      <w:pPr>
        <w:spacing w:after="120" w:line="276" w:lineRule="auto"/>
        <w:jc w:val="both"/>
        <w:rPr>
          <w:sz w:val="24"/>
        </w:rPr>
      </w:pPr>
      <w:r>
        <w:rPr>
          <w:sz w:val="24"/>
        </w:rPr>
        <w:t xml:space="preserve">Ne sono un esempio i dati sui fruitori dei musei che in Trentino Alto Adige o in Toscana sono circa il 40% della popolazione, mentre </w:t>
      </w:r>
      <w:r w:rsidR="008A1430">
        <w:rPr>
          <w:sz w:val="24"/>
        </w:rPr>
        <w:t xml:space="preserve">in Puglia e Calabria la metà, il 20%; oppure quelli sul teatro che in Trentino Alto Adige sono il 29%, oltre tre volte quelli della Sardegna, 9,3%. </w:t>
      </w:r>
    </w:p>
    <w:p w:rsidR="008A1430" w:rsidRDefault="0032092F" w:rsidP="008A1430">
      <w:pPr>
        <w:spacing w:after="120" w:line="276" w:lineRule="auto"/>
        <w:jc w:val="both"/>
        <w:rPr>
          <w:sz w:val="24"/>
        </w:rPr>
      </w:pPr>
      <w:r w:rsidRPr="00093460">
        <w:rPr>
          <w:sz w:val="24"/>
        </w:rPr>
        <w:lastRenderedPageBreak/>
        <w:t xml:space="preserve">In questo scenario la </w:t>
      </w:r>
      <w:r w:rsidR="00FB5C1D" w:rsidRPr="00093460">
        <w:rPr>
          <w:b/>
          <w:sz w:val="24"/>
          <w:u w:val="single"/>
        </w:rPr>
        <w:t>Campania</w:t>
      </w:r>
      <w:r w:rsidR="00FB5C1D" w:rsidRPr="00093460">
        <w:rPr>
          <w:sz w:val="24"/>
        </w:rPr>
        <w:t xml:space="preserve">, come per la spesa culturale, appare in una posizione di retroguardia per </w:t>
      </w:r>
      <w:r w:rsidRPr="00093460">
        <w:rPr>
          <w:sz w:val="24"/>
        </w:rPr>
        <w:t xml:space="preserve">quota di residenti </w:t>
      </w:r>
      <w:r w:rsidR="00FB5C1D" w:rsidRPr="00093460">
        <w:rPr>
          <w:sz w:val="24"/>
        </w:rPr>
        <w:t xml:space="preserve">che </w:t>
      </w:r>
      <w:r w:rsidRPr="00093460">
        <w:rPr>
          <w:sz w:val="24"/>
        </w:rPr>
        <w:t>si dedica</w:t>
      </w:r>
      <w:r w:rsidR="00FB5C1D" w:rsidRPr="00093460">
        <w:rPr>
          <w:sz w:val="24"/>
        </w:rPr>
        <w:t>no</w:t>
      </w:r>
      <w:r w:rsidR="00093460" w:rsidRPr="00093460">
        <w:rPr>
          <w:sz w:val="24"/>
        </w:rPr>
        <w:t xml:space="preserve"> ad attività culturali rispetto ai valori nazionali, per quanto con risultati generalmente migliori di quelle delle altre regioni del Sud e delle Isole.</w:t>
      </w:r>
      <w:r>
        <w:rPr>
          <w:sz w:val="24"/>
        </w:rPr>
        <w:t xml:space="preserve"> </w:t>
      </w:r>
    </w:p>
    <w:p w:rsidR="00D9078D" w:rsidRPr="006D5588" w:rsidRDefault="006D5588" w:rsidP="006533B8">
      <w:pPr>
        <w:spacing w:after="0" w:line="276" w:lineRule="auto"/>
        <w:jc w:val="both"/>
        <w:rPr>
          <w:b/>
          <w:sz w:val="24"/>
        </w:rPr>
      </w:pPr>
      <w:r w:rsidRPr="006D5588">
        <w:rPr>
          <w:b/>
          <w:sz w:val="24"/>
        </w:rPr>
        <w:t xml:space="preserve">La fruizione culturale </w:t>
      </w:r>
      <w:r w:rsidR="0032092F">
        <w:rPr>
          <w:b/>
          <w:sz w:val="24"/>
        </w:rPr>
        <w:t xml:space="preserve">in Italia e </w:t>
      </w:r>
      <w:r w:rsidR="00FB5C1D">
        <w:rPr>
          <w:b/>
          <w:sz w:val="24"/>
        </w:rPr>
        <w:t>Campania</w:t>
      </w:r>
    </w:p>
    <w:p w:rsidR="009600EF" w:rsidRDefault="006533B8" w:rsidP="00CA29CB">
      <w:pPr>
        <w:spacing w:after="120" w:line="276" w:lineRule="auto"/>
        <w:jc w:val="both"/>
        <w:rPr>
          <w:i/>
          <w:sz w:val="20"/>
          <w:szCs w:val="20"/>
        </w:rPr>
      </w:pPr>
      <w:r w:rsidRPr="006533B8">
        <w:rPr>
          <w:sz w:val="20"/>
          <w:szCs w:val="20"/>
        </w:rPr>
        <w:t>Persone di 6 anni e più che hanno fruito di vari tipi di spettacolo e/o intrattenimento fuori casa e lettura di libri almeno una volta l'anno</w:t>
      </w:r>
      <w:r w:rsidRPr="006533B8">
        <w:rPr>
          <w:i/>
          <w:sz w:val="20"/>
          <w:szCs w:val="20"/>
        </w:rPr>
        <w:t xml:space="preserve"> (per 100 persone con le stesse caratteristiche).</w:t>
      </w:r>
    </w:p>
    <w:tbl>
      <w:tblPr>
        <w:tblStyle w:val="Grigliatabella"/>
        <w:tblW w:w="9967" w:type="dxa"/>
        <w:tblLook w:val="04A0" w:firstRow="1" w:lastRow="0" w:firstColumn="1" w:lastColumn="0" w:noHBand="0" w:noVBand="1"/>
      </w:tblPr>
      <w:tblGrid>
        <w:gridCol w:w="1407"/>
        <w:gridCol w:w="862"/>
        <w:gridCol w:w="941"/>
        <w:gridCol w:w="1516"/>
        <w:gridCol w:w="1408"/>
        <w:gridCol w:w="1658"/>
        <w:gridCol w:w="2175"/>
      </w:tblGrid>
      <w:tr w:rsidR="0032092F" w:rsidRPr="009056B4" w:rsidTr="0032092F">
        <w:trPr>
          <w:trHeight w:val="341"/>
        </w:trPr>
        <w:tc>
          <w:tcPr>
            <w:tcW w:w="1407" w:type="dxa"/>
          </w:tcPr>
          <w:p w:rsidR="0032092F" w:rsidRPr="009056B4" w:rsidRDefault="0032092F" w:rsidP="0032092F">
            <w:pPr>
              <w:spacing w:after="120" w:line="276" w:lineRule="auto"/>
              <w:jc w:val="both"/>
              <w:rPr>
                <w:sz w:val="20"/>
                <w:szCs w:val="20"/>
              </w:rPr>
            </w:pPr>
          </w:p>
        </w:tc>
        <w:tc>
          <w:tcPr>
            <w:tcW w:w="862" w:type="dxa"/>
            <w:vAlign w:val="center"/>
          </w:tcPr>
          <w:p w:rsidR="0032092F" w:rsidRPr="009056B4" w:rsidRDefault="0032092F" w:rsidP="0032092F">
            <w:pPr>
              <w:spacing w:after="120" w:line="276" w:lineRule="auto"/>
              <w:jc w:val="center"/>
              <w:rPr>
                <w:sz w:val="20"/>
                <w:szCs w:val="20"/>
              </w:rPr>
            </w:pPr>
            <w:r w:rsidRPr="009056B4">
              <w:rPr>
                <w:rFonts w:eastAsia="Times New Roman" w:cstheme="minorHAnsi"/>
                <w:b/>
                <w:bCs/>
                <w:sz w:val="20"/>
                <w:szCs w:val="20"/>
                <w:lang w:eastAsia="it-IT"/>
              </w:rPr>
              <w:t>Teatro</w:t>
            </w:r>
          </w:p>
        </w:tc>
        <w:tc>
          <w:tcPr>
            <w:tcW w:w="941" w:type="dxa"/>
            <w:vAlign w:val="center"/>
          </w:tcPr>
          <w:p w:rsidR="0032092F" w:rsidRPr="009056B4" w:rsidRDefault="0032092F" w:rsidP="0032092F">
            <w:pPr>
              <w:spacing w:after="120" w:line="276" w:lineRule="auto"/>
              <w:jc w:val="center"/>
              <w:rPr>
                <w:sz w:val="20"/>
                <w:szCs w:val="20"/>
              </w:rPr>
            </w:pPr>
            <w:r w:rsidRPr="009056B4">
              <w:rPr>
                <w:rFonts w:eastAsia="Times New Roman" w:cstheme="minorHAnsi"/>
                <w:b/>
                <w:bCs/>
                <w:sz w:val="20"/>
                <w:szCs w:val="20"/>
                <w:lang w:eastAsia="it-IT"/>
              </w:rPr>
              <w:t>Cinema</w:t>
            </w:r>
          </w:p>
        </w:tc>
        <w:tc>
          <w:tcPr>
            <w:tcW w:w="1516" w:type="dxa"/>
            <w:vAlign w:val="center"/>
          </w:tcPr>
          <w:p w:rsidR="0032092F" w:rsidRPr="009056B4" w:rsidRDefault="0032092F" w:rsidP="0032092F">
            <w:pPr>
              <w:spacing w:after="120" w:line="276" w:lineRule="auto"/>
              <w:jc w:val="center"/>
              <w:rPr>
                <w:sz w:val="20"/>
                <w:szCs w:val="20"/>
              </w:rPr>
            </w:pPr>
            <w:r w:rsidRPr="009056B4">
              <w:rPr>
                <w:rFonts w:eastAsia="Times New Roman" w:cstheme="minorHAnsi"/>
                <w:b/>
                <w:bCs/>
                <w:sz w:val="20"/>
                <w:szCs w:val="20"/>
                <w:lang w:eastAsia="it-IT"/>
              </w:rPr>
              <w:t>Musei, mostre</w:t>
            </w:r>
          </w:p>
        </w:tc>
        <w:tc>
          <w:tcPr>
            <w:tcW w:w="1408" w:type="dxa"/>
            <w:vAlign w:val="center"/>
          </w:tcPr>
          <w:p w:rsidR="0032092F" w:rsidRPr="009056B4" w:rsidRDefault="0032092F" w:rsidP="0032092F">
            <w:pPr>
              <w:jc w:val="center"/>
              <w:rPr>
                <w:rFonts w:eastAsia="Times New Roman" w:cstheme="minorHAnsi"/>
                <w:b/>
                <w:bCs/>
                <w:color w:val="000000"/>
                <w:sz w:val="20"/>
                <w:szCs w:val="20"/>
                <w:lang w:eastAsia="it-IT"/>
              </w:rPr>
            </w:pPr>
            <w:r w:rsidRPr="009056B4">
              <w:rPr>
                <w:rFonts w:eastAsia="Times New Roman" w:cstheme="minorHAnsi"/>
                <w:b/>
                <w:bCs/>
                <w:color w:val="000000"/>
                <w:sz w:val="20"/>
                <w:szCs w:val="20"/>
                <w:lang w:eastAsia="it-IT"/>
              </w:rPr>
              <w:t>Altri concerti di musica</w:t>
            </w:r>
          </w:p>
        </w:tc>
        <w:tc>
          <w:tcPr>
            <w:tcW w:w="1658" w:type="dxa"/>
            <w:vAlign w:val="center"/>
          </w:tcPr>
          <w:p w:rsidR="0032092F" w:rsidRPr="009056B4" w:rsidRDefault="0032092F" w:rsidP="0032092F">
            <w:pPr>
              <w:spacing w:after="120" w:line="276" w:lineRule="auto"/>
              <w:jc w:val="center"/>
              <w:rPr>
                <w:sz w:val="20"/>
                <w:szCs w:val="20"/>
              </w:rPr>
            </w:pPr>
            <w:r w:rsidRPr="009056B4">
              <w:rPr>
                <w:rFonts w:eastAsia="Times New Roman" w:cstheme="minorHAnsi"/>
                <w:b/>
                <w:bCs/>
                <w:color w:val="000000"/>
                <w:sz w:val="20"/>
                <w:szCs w:val="20"/>
                <w:lang w:eastAsia="it-IT"/>
              </w:rPr>
              <w:t>Siti archeologici e monumenti</w:t>
            </w:r>
          </w:p>
        </w:tc>
        <w:tc>
          <w:tcPr>
            <w:tcW w:w="2175" w:type="dxa"/>
            <w:vAlign w:val="center"/>
          </w:tcPr>
          <w:p w:rsidR="0032092F" w:rsidRPr="009056B4" w:rsidRDefault="0032092F" w:rsidP="0032092F">
            <w:pPr>
              <w:spacing w:after="120" w:line="276" w:lineRule="auto"/>
              <w:jc w:val="center"/>
              <w:rPr>
                <w:sz w:val="20"/>
                <w:szCs w:val="20"/>
              </w:rPr>
            </w:pPr>
            <w:r w:rsidRPr="009056B4">
              <w:rPr>
                <w:rFonts w:eastAsia="Times New Roman" w:cstheme="minorHAnsi"/>
                <w:b/>
                <w:bCs/>
                <w:sz w:val="20"/>
                <w:szCs w:val="20"/>
                <w:lang w:eastAsia="it-IT"/>
              </w:rPr>
              <w:t>Concerti di musica classica, opera</w:t>
            </w:r>
          </w:p>
        </w:tc>
      </w:tr>
      <w:tr w:rsidR="0032092F" w:rsidRPr="009056B4" w:rsidTr="009056B4">
        <w:trPr>
          <w:trHeight w:val="361"/>
        </w:trPr>
        <w:tc>
          <w:tcPr>
            <w:tcW w:w="1407" w:type="dxa"/>
            <w:vAlign w:val="center"/>
          </w:tcPr>
          <w:p w:rsidR="0032092F" w:rsidRPr="00FB5C1D" w:rsidRDefault="00FB5C1D" w:rsidP="009056B4">
            <w:pPr>
              <w:spacing w:line="276" w:lineRule="auto"/>
              <w:rPr>
                <w:b/>
                <w:sz w:val="20"/>
                <w:szCs w:val="20"/>
              </w:rPr>
            </w:pPr>
            <w:r w:rsidRPr="00FB5C1D">
              <w:rPr>
                <w:b/>
                <w:color w:val="C00000"/>
                <w:sz w:val="20"/>
                <w:szCs w:val="20"/>
              </w:rPr>
              <w:t>Campania</w:t>
            </w:r>
          </w:p>
        </w:tc>
        <w:tc>
          <w:tcPr>
            <w:tcW w:w="862" w:type="dxa"/>
            <w:vAlign w:val="center"/>
          </w:tcPr>
          <w:p w:rsidR="0032092F" w:rsidRPr="00FB5C1D" w:rsidRDefault="00FB5C1D" w:rsidP="009056B4">
            <w:pPr>
              <w:spacing w:line="276" w:lineRule="auto"/>
              <w:jc w:val="center"/>
              <w:rPr>
                <w:sz w:val="20"/>
                <w:szCs w:val="20"/>
              </w:rPr>
            </w:pPr>
            <w:r w:rsidRPr="00FB5C1D">
              <w:rPr>
                <w:rFonts w:eastAsia="Times New Roman" w:cstheme="minorHAnsi"/>
                <w:b/>
                <w:color w:val="C00000"/>
                <w:sz w:val="20"/>
                <w:szCs w:val="20"/>
                <w:lang w:eastAsia="it-IT"/>
              </w:rPr>
              <w:t>16,6</w:t>
            </w:r>
          </w:p>
        </w:tc>
        <w:tc>
          <w:tcPr>
            <w:tcW w:w="941" w:type="dxa"/>
            <w:vAlign w:val="center"/>
          </w:tcPr>
          <w:p w:rsidR="0032092F" w:rsidRPr="00FB5C1D" w:rsidRDefault="00FB5C1D" w:rsidP="009056B4">
            <w:pPr>
              <w:spacing w:line="276" w:lineRule="auto"/>
              <w:jc w:val="center"/>
              <w:rPr>
                <w:sz w:val="20"/>
                <w:szCs w:val="20"/>
              </w:rPr>
            </w:pPr>
            <w:r w:rsidRPr="00FB5C1D">
              <w:rPr>
                <w:rFonts w:eastAsia="Times New Roman" w:cstheme="minorHAnsi"/>
                <w:b/>
                <w:color w:val="C00000"/>
                <w:sz w:val="20"/>
                <w:szCs w:val="20"/>
                <w:lang w:eastAsia="it-IT"/>
              </w:rPr>
              <w:t>49,2</w:t>
            </w:r>
          </w:p>
        </w:tc>
        <w:tc>
          <w:tcPr>
            <w:tcW w:w="1516" w:type="dxa"/>
            <w:vAlign w:val="center"/>
          </w:tcPr>
          <w:p w:rsidR="0032092F" w:rsidRPr="00FB5C1D" w:rsidRDefault="00FB5C1D" w:rsidP="009056B4">
            <w:pPr>
              <w:spacing w:line="276" w:lineRule="auto"/>
              <w:jc w:val="center"/>
              <w:rPr>
                <w:sz w:val="20"/>
                <w:szCs w:val="20"/>
              </w:rPr>
            </w:pPr>
            <w:r w:rsidRPr="00FB5C1D">
              <w:rPr>
                <w:rFonts w:eastAsia="Times New Roman" w:cstheme="minorHAnsi"/>
                <w:b/>
                <w:color w:val="C00000"/>
                <w:sz w:val="20"/>
                <w:szCs w:val="20"/>
                <w:lang w:eastAsia="it-IT"/>
              </w:rPr>
              <w:t>23,6</w:t>
            </w:r>
          </w:p>
        </w:tc>
        <w:tc>
          <w:tcPr>
            <w:tcW w:w="1408" w:type="dxa"/>
            <w:vAlign w:val="center"/>
          </w:tcPr>
          <w:p w:rsidR="0032092F" w:rsidRPr="00FB5C1D" w:rsidRDefault="00FB5C1D" w:rsidP="009056B4">
            <w:pPr>
              <w:spacing w:line="276" w:lineRule="auto"/>
              <w:jc w:val="center"/>
              <w:rPr>
                <w:sz w:val="20"/>
                <w:szCs w:val="20"/>
              </w:rPr>
            </w:pPr>
            <w:r w:rsidRPr="00FB5C1D">
              <w:rPr>
                <w:rFonts w:eastAsia="Times New Roman" w:cstheme="minorHAnsi"/>
                <w:b/>
                <w:color w:val="C00000"/>
                <w:sz w:val="20"/>
                <w:szCs w:val="20"/>
                <w:lang w:eastAsia="it-IT"/>
              </w:rPr>
              <w:t>15,2</w:t>
            </w:r>
          </w:p>
        </w:tc>
        <w:tc>
          <w:tcPr>
            <w:tcW w:w="1658" w:type="dxa"/>
            <w:vAlign w:val="center"/>
          </w:tcPr>
          <w:p w:rsidR="0032092F" w:rsidRPr="00FB5C1D" w:rsidRDefault="00FB5C1D" w:rsidP="009056B4">
            <w:pPr>
              <w:spacing w:line="276" w:lineRule="auto"/>
              <w:jc w:val="center"/>
              <w:rPr>
                <w:sz w:val="20"/>
                <w:szCs w:val="20"/>
              </w:rPr>
            </w:pPr>
            <w:r w:rsidRPr="00FB5C1D">
              <w:rPr>
                <w:rFonts w:eastAsia="Times New Roman" w:cstheme="minorHAnsi"/>
                <w:b/>
                <w:color w:val="C00000"/>
                <w:sz w:val="20"/>
                <w:szCs w:val="20"/>
                <w:lang w:eastAsia="it-IT"/>
              </w:rPr>
              <w:t>20,4</w:t>
            </w:r>
          </w:p>
        </w:tc>
        <w:tc>
          <w:tcPr>
            <w:tcW w:w="2175" w:type="dxa"/>
            <w:vAlign w:val="center"/>
          </w:tcPr>
          <w:p w:rsidR="0032092F" w:rsidRPr="009056B4" w:rsidRDefault="00FB5C1D" w:rsidP="009056B4">
            <w:pPr>
              <w:spacing w:line="276" w:lineRule="auto"/>
              <w:jc w:val="center"/>
              <w:rPr>
                <w:sz w:val="20"/>
                <w:szCs w:val="20"/>
              </w:rPr>
            </w:pPr>
            <w:r w:rsidRPr="00FB5C1D">
              <w:rPr>
                <w:rFonts w:eastAsia="Times New Roman" w:cstheme="minorHAnsi"/>
                <w:b/>
                <w:color w:val="C00000"/>
                <w:sz w:val="20"/>
                <w:szCs w:val="20"/>
                <w:lang w:eastAsia="it-IT"/>
              </w:rPr>
              <w:t>7,4</w:t>
            </w:r>
          </w:p>
        </w:tc>
      </w:tr>
      <w:tr w:rsidR="0032092F" w:rsidRPr="009056B4" w:rsidTr="009056B4">
        <w:trPr>
          <w:trHeight w:val="323"/>
        </w:trPr>
        <w:tc>
          <w:tcPr>
            <w:tcW w:w="1407" w:type="dxa"/>
            <w:vAlign w:val="center"/>
          </w:tcPr>
          <w:p w:rsidR="0032092F" w:rsidRPr="009056B4" w:rsidRDefault="0032092F" w:rsidP="009056B4">
            <w:pPr>
              <w:spacing w:line="276" w:lineRule="auto"/>
              <w:rPr>
                <w:b/>
                <w:sz w:val="20"/>
                <w:szCs w:val="20"/>
              </w:rPr>
            </w:pPr>
            <w:r w:rsidRPr="009056B4">
              <w:rPr>
                <w:b/>
                <w:sz w:val="20"/>
                <w:szCs w:val="20"/>
              </w:rPr>
              <w:t>Italia</w:t>
            </w:r>
          </w:p>
        </w:tc>
        <w:tc>
          <w:tcPr>
            <w:tcW w:w="862" w:type="dxa"/>
            <w:vAlign w:val="center"/>
          </w:tcPr>
          <w:p w:rsidR="0032092F" w:rsidRPr="009056B4" w:rsidRDefault="0039449B" w:rsidP="009056B4">
            <w:pPr>
              <w:spacing w:line="276" w:lineRule="auto"/>
              <w:jc w:val="center"/>
              <w:rPr>
                <w:sz w:val="20"/>
                <w:szCs w:val="20"/>
              </w:rPr>
            </w:pPr>
            <w:r w:rsidRPr="009056B4">
              <w:rPr>
                <w:sz w:val="20"/>
                <w:szCs w:val="20"/>
              </w:rPr>
              <w:t>19,2</w:t>
            </w:r>
          </w:p>
        </w:tc>
        <w:tc>
          <w:tcPr>
            <w:tcW w:w="941" w:type="dxa"/>
            <w:vAlign w:val="center"/>
          </w:tcPr>
          <w:p w:rsidR="0032092F" w:rsidRPr="009056B4" w:rsidRDefault="0039449B" w:rsidP="009056B4">
            <w:pPr>
              <w:spacing w:line="276" w:lineRule="auto"/>
              <w:jc w:val="center"/>
              <w:rPr>
                <w:sz w:val="20"/>
                <w:szCs w:val="20"/>
              </w:rPr>
            </w:pPr>
            <w:r w:rsidRPr="009056B4">
              <w:rPr>
                <w:sz w:val="20"/>
                <w:szCs w:val="20"/>
              </w:rPr>
              <w:t>48,8</w:t>
            </w:r>
          </w:p>
        </w:tc>
        <w:tc>
          <w:tcPr>
            <w:tcW w:w="1516" w:type="dxa"/>
            <w:vAlign w:val="center"/>
          </w:tcPr>
          <w:p w:rsidR="0032092F" w:rsidRPr="009056B4" w:rsidRDefault="009056B4" w:rsidP="009056B4">
            <w:pPr>
              <w:spacing w:line="276" w:lineRule="auto"/>
              <w:jc w:val="center"/>
              <w:rPr>
                <w:sz w:val="20"/>
                <w:szCs w:val="20"/>
              </w:rPr>
            </w:pPr>
            <w:r w:rsidRPr="009056B4">
              <w:rPr>
                <w:sz w:val="20"/>
                <w:szCs w:val="20"/>
              </w:rPr>
              <w:t>31,7</w:t>
            </w:r>
          </w:p>
        </w:tc>
        <w:tc>
          <w:tcPr>
            <w:tcW w:w="1408" w:type="dxa"/>
            <w:vAlign w:val="center"/>
          </w:tcPr>
          <w:p w:rsidR="0032092F" w:rsidRPr="009056B4" w:rsidRDefault="009056B4" w:rsidP="009056B4">
            <w:pPr>
              <w:spacing w:line="276" w:lineRule="auto"/>
              <w:jc w:val="center"/>
              <w:rPr>
                <w:sz w:val="20"/>
                <w:szCs w:val="20"/>
              </w:rPr>
            </w:pPr>
            <w:r w:rsidRPr="009056B4">
              <w:rPr>
                <w:sz w:val="20"/>
                <w:szCs w:val="20"/>
              </w:rPr>
              <w:t>20,0</w:t>
            </w:r>
          </w:p>
        </w:tc>
        <w:tc>
          <w:tcPr>
            <w:tcW w:w="1658" w:type="dxa"/>
            <w:vAlign w:val="center"/>
          </w:tcPr>
          <w:p w:rsidR="0032092F" w:rsidRPr="009056B4" w:rsidRDefault="009056B4" w:rsidP="009056B4">
            <w:pPr>
              <w:spacing w:line="276" w:lineRule="auto"/>
              <w:jc w:val="center"/>
              <w:rPr>
                <w:sz w:val="20"/>
                <w:szCs w:val="20"/>
              </w:rPr>
            </w:pPr>
            <w:r w:rsidRPr="009056B4">
              <w:rPr>
                <w:sz w:val="20"/>
                <w:szCs w:val="20"/>
              </w:rPr>
              <w:t>27,4</w:t>
            </w:r>
          </w:p>
        </w:tc>
        <w:tc>
          <w:tcPr>
            <w:tcW w:w="2175" w:type="dxa"/>
            <w:vAlign w:val="center"/>
          </w:tcPr>
          <w:p w:rsidR="0032092F" w:rsidRPr="009056B4" w:rsidRDefault="009056B4" w:rsidP="009056B4">
            <w:pPr>
              <w:spacing w:line="276" w:lineRule="auto"/>
              <w:jc w:val="center"/>
              <w:rPr>
                <w:sz w:val="20"/>
                <w:szCs w:val="20"/>
              </w:rPr>
            </w:pPr>
            <w:r w:rsidRPr="009056B4">
              <w:rPr>
                <w:sz w:val="20"/>
                <w:szCs w:val="20"/>
              </w:rPr>
              <w:t>9,3</w:t>
            </w:r>
          </w:p>
        </w:tc>
      </w:tr>
    </w:tbl>
    <w:p w:rsidR="006D5588" w:rsidRPr="009600EF" w:rsidRDefault="006D5588" w:rsidP="006D5588">
      <w:pPr>
        <w:spacing w:after="0" w:line="240" w:lineRule="auto"/>
        <w:jc w:val="both"/>
        <w:rPr>
          <w:i/>
          <w:sz w:val="18"/>
        </w:rPr>
      </w:pPr>
      <w:r w:rsidRPr="009600EF">
        <w:rPr>
          <w:sz w:val="18"/>
        </w:rPr>
        <w:t xml:space="preserve">Fonte: Istat. </w:t>
      </w:r>
    </w:p>
    <w:p w:rsidR="006D5588" w:rsidRDefault="006D5588" w:rsidP="00CA29CB">
      <w:pPr>
        <w:spacing w:after="120" w:line="276" w:lineRule="auto"/>
        <w:jc w:val="both"/>
        <w:rPr>
          <w:sz w:val="24"/>
        </w:rPr>
      </w:pPr>
    </w:p>
    <w:p w:rsidR="000432DC" w:rsidRPr="000432DC" w:rsidRDefault="000432DC" w:rsidP="000432DC">
      <w:pPr>
        <w:spacing w:after="120" w:line="276" w:lineRule="auto"/>
        <w:jc w:val="both"/>
        <w:rPr>
          <w:sz w:val="24"/>
        </w:rPr>
      </w:pPr>
      <w:r w:rsidRPr="000432DC">
        <w:rPr>
          <w:sz w:val="24"/>
        </w:rPr>
        <w:t xml:space="preserve">Il trend di crescita della </w:t>
      </w:r>
      <w:r w:rsidRPr="00DC1B88">
        <w:rPr>
          <w:b/>
          <w:sz w:val="24"/>
        </w:rPr>
        <w:t>fruizione museale</w:t>
      </w:r>
      <w:r w:rsidR="00AC3AA6">
        <w:rPr>
          <w:sz w:val="24"/>
        </w:rPr>
        <w:t xml:space="preserve"> </w:t>
      </w:r>
      <w:r w:rsidRPr="000432DC">
        <w:rPr>
          <w:sz w:val="24"/>
        </w:rPr>
        <w:t xml:space="preserve">è confermato anche dai dati </w:t>
      </w:r>
      <w:r w:rsidR="00DC1B88" w:rsidRPr="000432DC">
        <w:rPr>
          <w:sz w:val="24"/>
        </w:rPr>
        <w:t xml:space="preserve">relativi </w:t>
      </w:r>
      <w:r w:rsidR="00DC1B88">
        <w:rPr>
          <w:sz w:val="24"/>
        </w:rPr>
        <w:t>ai</w:t>
      </w:r>
      <w:r w:rsidRPr="000432DC">
        <w:rPr>
          <w:sz w:val="24"/>
        </w:rPr>
        <w:t xml:space="preserve"> </w:t>
      </w:r>
      <w:r w:rsidRPr="00DC1B88">
        <w:rPr>
          <w:b/>
          <w:sz w:val="24"/>
        </w:rPr>
        <w:t xml:space="preserve">visitatori </w:t>
      </w:r>
      <w:r w:rsidR="00AC3AA6">
        <w:rPr>
          <w:b/>
          <w:sz w:val="24"/>
        </w:rPr>
        <w:t>dei</w:t>
      </w:r>
      <w:r w:rsidRPr="00DC1B88">
        <w:rPr>
          <w:b/>
          <w:sz w:val="24"/>
        </w:rPr>
        <w:t xml:space="preserve"> musei statali che nel 2018 aumentano di oltre il 10%</w:t>
      </w:r>
      <w:r w:rsidR="00D51F2E">
        <w:rPr>
          <w:b/>
          <w:sz w:val="24"/>
        </w:rPr>
        <w:t xml:space="preserve"> superando i 55 milioni di visitatori</w:t>
      </w:r>
      <w:r w:rsidRPr="000432DC">
        <w:rPr>
          <w:sz w:val="24"/>
        </w:rPr>
        <w:t>; in particolare forti incrementi si osservano nei musei campani e liguri, mentre nelle regioni del Nord-Ove</w:t>
      </w:r>
      <w:r w:rsidR="00DC1B88">
        <w:rPr>
          <w:sz w:val="24"/>
        </w:rPr>
        <w:t>st e in Sardegna si registra</w:t>
      </w:r>
      <w:r w:rsidR="0061230C">
        <w:rPr>
          <w:sz w:val="24"/>
        </w:rPr>
        <w:t>no</w:t>
      </w:r>
      <w:r w:rsidR="00DC1B88">
        <w:rPr>
          <w:sz w:val="24"/>
        </w:rPr>
        <w:t xml:space="preserve"> al</w:t>
      </w:r>
      <w:r w:rsidRPr="000432DC">
        <w:rPr>
          <w:sz w:val="24"/>
        </w:rPr>
        <w:t xml:space="preserve">cune flessioni. </w:t>
      </w:r>
    </w:p>
    <w:p w:rsidR="00321A24" w:rsidRDefault="000432DC" w:rsidP="00AC3AA6">
      <w:pPr>
        <w:spacing w:after="0" w:line="276" w:lineRule="auto"/>
        <w:jc w:val="both"/>
        <w:rPr>
          <w:sz w:val="24"/>
        </w:rPr>
      </w:pPr>
      <w:r w:rsidRPr="000432DC">
        <w:rPr>
          <w:sz w:val="24"/>
        </w:rPr>
        <w:t xml:space="preserve">L'ottima performance dei musei statali, che solo negli ultimi cinque anni sono cresciuti del </w:t>
      </w:r>
      <w:r w:rsidR="00653BDE">
        <w:rPr>
          <w:sz w:val="24"/>
        </w:rPr>
        <w:t>44</w:t>
      </w:r>
      <w:r w:rsidRPr="000432DC">
        <w:rPr>
          <w:sz w:val="24"/>
        </w:rPr>
        <w:t xml:space="preserve">%, appare trainata dai </w:t>
      </w:r>
      <w:r w:rsidRPr="00DC1B88">
        <w:rPr>
          <w:b/>
          <w:sz w:val="24"/>
        </w:rPr>
        <w:t>musei dotati di autonomia speciale</w:t>
      </w:r>
      <w:r w:rsidRPr="000432DC">
        <w:rPr>
          <w:sz w:val="24"/>
        </w:rPr>
        <w:t xml:space="preserve"> che nell'ultimo anno, 2018/2017, vedono </w:t>
      </w:r>
      <w:r w:rsidRPr="00DC1B88">
        <w:rPr>
          <w:b/>
          <w:sz w:val="24"/>
        </w:rPr>
        <w:t>aumentare i propri visitatori di quasi il 15%</w:t>
      </w:r>
      <w:r w:rsidRPr="000432DC">
        <w:rPr>
          <w:sz w:val="24"/>
        </w:rPr>
        <w:t xml:space="preserve">, con picchi molto più alti in alcune regioni come la </w:t>
      </w:r>
      <w:r w:rsidRPr="00093460">
        <w:rPr>
          <w:b/>
          <w:sz w:val="24"/>
          <w:u w:val="single"/>
        </w:rPr>
        <w:t>Campania</w:t>
      </w:r>
      <w:r w:rsidRPr="00DC1B88">
        <w:rPr>
          <w:b/>
          <w:sz w:val="24"/>
        </w:rPr>
        <w:t xml:space="preserve"> (+36%)</w:t>
      </w:r>
      <w:r w:rsidRPr="000432DC">
        <w:rPr>
          <w:sz w:val="24"/>
        </w:rPr>
        <w:t xml:space="preserve"> e </w:t>
      </w:r>
      <w:r w:rsidR="00FE73C9">
        <w:rPr>
          <w:sz w:val="24"/>
        </w:rPr>
        <w:t xml:space="preserve">il </w:t>
      </w:r>
      <w:r w:rsidR="00FE73C9">
        <w:rPr>
          <w:b/>
          <w:sz w:val="24"/>
        </w:rPr>
        <w:t>Piemonte</w:t>
      </w:r>
      <w:r w:rsidRPr="00DC1B88">
        <w:rPr>
          <w:b/>
          <w:sz w:val="24"/>
        </w:rPr>
        <w:t xml:space="preserve"> (+</w:t>
      </w:r>
      <w:r w:rsidR="00FE73C9">
        <w:rPr>
          <w:b/>
          <w:sz w:val="24"/>
        </w:rPr>
        <w:t>33</w:t>
      </w:r>
      <w:r w:rsidRPr="00DC1B88">
        <w:rPr>
          <w:b/>
          <w:sz w:val="24"/>
        </w:rPr>
        <w:t>%)</w:t>
      </w:r>
      <w:r w:rsidRPr="000432DC">
        <w:rPr>
          <w:sz w:val="24"/>
        </w:rPr>
        <w:t>. Dati che, pur considerando che fanno parte della categoria dei musei autonomi i maggiori attrattori culturali del Paese, sembrano confermare una correlazione tra maggiore autonomia gestionale degli istituti museali e una più spiccata propensione al pubblico e al suo coinvolgimento, a vantaggio della valorizzazion</w:t>
      </w:r>
      <w:r w:rsidR="00DC1B88">
        <w:rPr>
          <w:sz w:val="24"/>
        </w:rPr>
        <w:t>e</w:t>
      </w:r>
      <w:r w:rsidRPr="000432DC">
        <w:rPr>
          <w:sz w:val="24"/>
        </w:rPr>
        <w:t xml:space="preserve"> e della fruizione complessiva dei beni.</w:t>
      </w:r>
    </w:p>
    <w:p w:rsidR="00AC3AA6" w:rsidRDefault="00AC3AA6" w:rsidP="00AC3AA6">
      <w:pPr>
        <w:spacing w:after="0" w:line="276" w:lineRule="auto"/>
        <w:jc w:val="both"/>
        <w:rPr>
          <w:sz w:val="24"/>
        </w:rPr>
      </w:pPr>
    </w:p>
    <w:p w:rsidR="00AC3AA6" w:rsidRPr="00AC3AA6" w:rsidRDefault="00AC3AA6" w:rsidP="00AC3AA6">
      <w:pPr>
        <w:spacing w:after="120" w:line="276" w:lineRule="auto"/>
        <w:jc w:val="both"/>
        <w:rPr>
          <w:b/>
          <w:sz w:val="24"/>
        </w:rPr>
      </w:pPr>
      <w:r w:rsidRPr="00AC3AA6">
        <w:rPr>
          <w:b/>
          <w:sz w:val="24"/>
        </w:rPr>
        <w:t>Le performance dei musei autonomi</w:t>
      </w:r>
      <w:r>
        <w:rPr>
          <w:b/>
          <w:sz w:val="24"/>
        </w:rPr>
        <w:tab/>
      </w:r>
      <w:r>
        <w:rPr>
          <w:b/>
          <w:sz w:val="24"/>
        </w:rPr>
        <w:tab/>
      </w:r>
      <w:r>
        <w:rPr>
          <w:b/>
          <w:sz w:val="24"/>
        </w:rPr>
        <w:tab/>
      </w:r>
      <w:r>
        <w:rPr>
          <w:b/>
          <w:sz w:val="24"/>
        </w:rPr>
        <w:tab/>
      </w:r>
      <w:r>
        <w:rPr>
          <w:b/>
          <w:sz w:val="24"/>
        </w:rPr>
        <w:tab/>
      </w:r>
      <w:proofErr w:type="spellStart"/>
      <w:r w:rsidRPr="00AC3AA6">
        <w:rPr>
          <w:sz w:val="24"/>
        </w:rPr>
        <w:t>Var</w:t>
      </w:r>
      <w:proofErr w:type="spellEnd"/>
      <w:r w:rsidRPr="00AC3AA6">
        <w:rPr>
          <w:sz w:val="24"/>
        </w:rPr>
        <w:t>. 2018/2017</w:t>
      </w:r>
    </w:p>
    <w:p w:rsidR="00321A24" w:rsidRDefault="00AD0DFD" w:rsidP="00CA29CB">
      <w:pPr>
        <w:spacing w:after="120" w:line="276" w:lineRule="auto"/>
        <w:jc w:val="both"/>
        <w:rPr>
          <w:sz w:val="24"/>
        </w:rPr>
      </w:pPr>
      <w:r w:rsidRPr="00AC3AA6">
        <w:rPr>
          <w:noProof/>
          <w:sz w:val="24"/>
          <w:lang w:eastAsia="it-IT"/>
        </w:rPr>
        <w:drawing>
          <wp:anchor distT="0" distB="0" distL="114300" distR="114300" simplePos="0" relativeHeight="251662847" behindDoc="0" locked="0" layoutInCell="1" allowOverlap="1" wp14:anchorId="55501022" wp14:editId="7B87DA9D">
            <wp:simplePos x="0" y="0"/>
            <wp:positionH relativeFrom="margin">
              <wp:posOffset>-85725</wp:posOffset>
            </wp:positionH>
            <wp:positionV relativeFrom="margin">
              <wp:posOffset>6127750</wp:posOffset>
            </wp:positionV>
            <wp:extent cx="3240405" cy="847090"/>
            <wp:effectExtent l="0" t="0" r="0" b="0"/>
            <wp:wrapSquare wrapText="bothSides"/>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19822"/>
                    <a:stretch/>
                  </pic:blipFill>
                  <pic:spPr bwMode="auto">
                    <a:xfrm>
                      <a:off x="0" y="0"/>
                      <a:ext cx="3240405" cy="84709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AC3AA6">
        <w:rPr>
          <w:noProof/>
          <w:sz w:val="24"/>
          <w:lang w:eastAsia="it-IT"/>
        </w:rPr>
        <w:drawing>
          <wp:anchor distT="0" distB="0" distL="114300" distR="114300" simplePos="0" relativeHeight="251663360" behindDoc="0" locked="0" layoutInCell="1" allowOverlap="1" wp14:anchorId="27B9DE09" wp14:editId="2087C8ED">
            <wp:simplePos x="0" y="0"/>
            <wp:positionH relativeFrom="margin">
              <wp:posOffset>3168015</wp:posOffset>
            </wp:positionH>
            <wp:positionV relativeFrom="margin">
              <wp:posOffset>5841365</wp:posOffset>
            </wp:positionV>
            <wp:extent cx="3289935" cy="1800225"/>
            <wp:effectExtent l="0" t="0" r="5715" b="9525"/>
            <wp:wrapSquare wrapText="bothSides"/>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12500"/>
                    <a:stretch/>
                  </pic:blipFill>
                  <pic:spPr bwMode="auto">
                    <a:xfrm>
                      <a:off x="0" y="0"/>
                      <a:ext cx="3289935" cy="18002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6827D6" w:rsidRDefault="006827D6" w:rsidP="00CA29CB">
      <w:pPr>
        <w:spacing w:after="120" w:line="276" w:lineRule="auto"/>
        <w:jc w:val="both"/>
        <w:rPr>
          <w:sz w:val="24"/>
        </w:rPr>
      </w:pPr>
    </w:p>
    <w:p w:rsidR="006827D6" w:rsidRDefault="006827D6" w:rsidP="00CA29CB">
      <w:pPr>
        <w:spacing w:after="120" w:line="276" w:lineRule="auto"/>
        <w:jc w:val="both"/>
        <w:rPr>
          <w:sz w:val="24"/>
        </w:rPr>
      </w:pPr>
    </w:p>
    <w:p w:rsidR="006827D6" w:rsidRDefault="006827D6" w:rsidP="00CA29CB">
      <w:pPr>
        <w:spacing w:after="120" w:line="276" w:lineRule="auto"/>
        <w:jc w:val="both"/>
        <w:rPr>
          <w:sz w:val="24"/>
        </w:rPr>
      </w:pPr>
    </w:p>
    <w:p w:rsidR="006827D6" w:rsidRDefault="006827D6" w:rsidP="00CA29CB">
      <w:pPr>
        <w:spacing w:after="120" w:line="276" w:lineRule="auto"/>
        <w:jc w:val="both"/>
        <w:rPr>
          <w:sz w:val="24"/>
        </w:rPr>
      </w:pPr>
    </w:p>
    <w:p w:rsidR="007E3BBE" w:rsidRDefault="007E3BBE" w:rsidP="00372DF0">
      <w:pPr>
        <w:spacing w:after="0" w:line="276" w:lineRule="auto"/>
        <w:jc w:val="right"/>
        <w:rPr>
          <w:sz w:val="18"/>
        </w:rPr>
      </w:pPr>
    </w:p>
    <w:p w:rsidR="007E3BBE" w:rsidRDefault="007E3BBE" w:rsidP="00372DF0">
      <w:pPr>
        <w:spacing w:after="0" w:line="276" w:lineRule="auto"/>
        <w:jc w:val="right"/>
        <w:rPr>
          <w:sz w:val="18"/>
        </w:rPr>
      </w:pPr>
    </w:p>
    <w:p w:rsidR="007E3BBE" w:rsidRDefault="007E3BBE" w:rsidP="00372DF0">
      <w:pPr>
        <w:spacing w:after="0" w:line="276" w:lineRule="auto"/>
        <w:jc w:val="right"/>
        <w:rPr>
          <w:sz w:val="18"/>
        </w:rPr>
      </w:pPr>
    </w:p>
    <w:p w:rsidR="007E3BBE" w:rsidRDefault="007E3BBE" w:rsidP="00372DF0">
      <w:pPr>
        <w:spacing w:after="0" w:line="276" w:lineRule="auto"/>
        <w:jc w:val="right"/>
        <w:rPr>
          <w:sz w:val="18"/>
        </w:rPr>
      </w:pPr>
    </w:p>
    <w:p w:rsidR="00AD0DFD" w:rsidRDefault="00AD0DFD" w:rsidP="00557BEC">
      <w:pPr>
        <w:spacing w:before="240" w:after="0" w:line="276" w:lineRule="auto"/>
        <w:jc w:val="both"/>
        <w:rPr>
          <w:b/>
        </w:rPr>
      </w:pPr>
    </w:p>
    <w:p w:rsidR="00AD0DFD" w:rsidRDefault="00AD0DFD" w:rsidP="00557BEC">
      <w:pPr>
        <w:spacing w:before="240" w:after="0" w:line="276" w:lineRule="auto"/>
        <w:jc w:val="both"/>
        <w:rPr>
          <w:b/>
        </w:rPr>
      </w:pPr>
    </w:p>
    <w:p w:rsidR="00093460" w:rsidRDefault="00093460" w:rsidP="00557BEC">
      <w:pPr>
        <w:spacing w:before="240" w:after="0" w:line="276" w:lineRule="auto"/>
        <w:jc w:val="both"/>
        <w:rPr>
          <w:b/>
        </w:rPr>
      </w:pPr>
    </w:p>
    <w:p w:rsidR="00557BEC" w:rsidRPr="000A2402" w:rsidRDefault="00557BEC" w:rsidP="00557BEC">
      <w:pPr>
        <w:spacing w:before="240" w:after="0" w:line="276" w:lineRule="auto"/>
        <w:jc w:val="both"/>
      </w:pPr>
      <w:r w:rsidRPr="000A2402">
        <w:rPr>
          <w:b/>
        </w:rPr>
        <w:lastRenderedPageBreak/>
        <w:t>Visitatori degli Istituti Museali dotati di autonomia speciale per regione</w:t>
      </w:r>
      <w:r w:rsidRPr="000A2402">
        <w:t xml:space="preserve"> </w:t>
      </w:r>
      <w:r w:rsidRPr="000A2402">
        <w:rPr>
          <w:sz w:val="24"/>
        </w:rPr>
        <w:t xml:space="preserve">- </w:t>
      </w:r>
      <w:proofErr w:type="spellStart"/>
      <w:r w:rsidRPr="000A2402">
        <w:t>Var</w:t>
      </w:r>
      <w:proofErr w:type="spellEnd"/>
      <w:r w:rsidRPr="000A2402">
        <w:t>. 2018-2017</w:t>
      </w:r>
    </w:p>
    <w:p w:rsidR="00557BEC" w:rsidRPr="00F924C5" w:rsidRDefault="00557BEC" w:rsidP="00093460">
      <w:pPr>
        <w:spacing w:after="0" w:line="276" w:lineRule="auto"/>
        <w:jc w:val="both"/>
        <w:rPr>
          <w:sz w:val="24"/>
          <w:highlight w:val="yellow"/>
        </w:rPr>
      </w:pPr>
      <w:r w:rsidRPr="00F924C5">
        <w:rPr>
          <w:noProof/>
          <w:highlight w:val="yellow"/>
          <w:lang w:eastAsia="it-IT"/>
        </w:rPr>
        <w:drawing>
          <wp:inline distT="0" distB="0" distL="0" distR="0" wp14:anchorId="6E948180" wp14:editId="4F3C34F8">
            <wp:extent cx="5838825" cy="2743200"/>
            <wp:effectExtent l="0" t="0" r="9525" b="0"/>
            <wp:docPr id="9" name="Gra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57BEC" w:rsidRPr="00AC3AA6" w:rsidRDefault="00557BEC" w:rsidP="000A2402">
      <w:pPr>
        <w:spacing w:after="0" w:line="240" w:lineRule="auto"/>
        <w:jc w:val="both"/>
        <w:rPr>
          <w:sz w:val="18"/>
        </w:rPr>
      </w:pPr>
      <w:r w:rsidRPr="000A2402">
        <w:rPr>
          <w:sz w:val="18"/>
        </w:rPr>
        <w:t xml:space="preserve">Fonte: elaborazioni Federculture su dati </w:t>
      </w:r>
      <w:proofErr w:type="spellStart"/>
      <w:r w:rsidRPr="000A2402">
        <w:rPr>
          <w:sz w:val="18"/>
        </w:rPr>
        <w:t>MiBACT</w:t>
      </w:r>
      <w:proofErr w:type="spellEnd"/>
    </w:p>
    <w:p w:rsidR="00557BEC" w:rsidRDefault="00044FF3" w:rsidP="00727B39">
      <w:pPr>
        <w:spacing w:before="160" w:after="60" w:line="276" w:lineRule="auto"/>
        <w:jc w:val="both"/>
        <w:rPr>
          <w:sz w:val="24"/>
        </w:rPr>
      </w:pPr>
      <w:r>
        <w:rPr>
          <w:sz w:val="24"/>
        </w:rPr>
        <w:t>S</w:t>
      </w:r>
      <w:r w:rsidR="00CA29CB" w:rsidRPr="00CA29CB">
        <w:rPr>
          <w:sz w:val="24"/>
        </w:rPr>
        <w:t xml:space="preserve">ono, invece, molto </w:t>
      </w:r>
      <w:r w:rsidR="00CA29CB" w:rsidRPr="00321A24">
        <w:rPr>
          <w:b/>
          <w:sz w:val="24"/>
        </w:rPr>
        <w:t xml:space="preserve">negativi i dati sulla </w:t>
      </w:r>
      <w:r w:rsidR="00CA29CB" w:rsidRPr="00321A24">
        <w:rPr>
          <w:b/>
          <w:sz w:val="24"/>
          <w:u w:val="single"/>
        </w:rPr>
        <w:t>lettura</w:t>
      </w:r>
      <w:r w:rsidR="00CA29CB" w:rsidRPr="00CA29CB">
        <w:rPr>
          <w:sz w:val="24"/>
        </w:rPr>
        <w:t>: gli italiani che hanno letto almeno un libro l'anno sono ancora in leggera diminuzione</w:t>
      </w:r>
      <w:r w:rsidR="00321A24">
        <w:rPr>
          <w:sz w:val="24"/>
        </w:rPr>
        <w:t xml:space="preserve"> (-1%)</w:t>
      </w:r>
      <w:r w:rsidR="00CA29CB" w:rsidRPr="00CA29CB">
        <w:rPr>
          <w:sz w:val="24"/>
        </w:rPr>
        <w:t xml:space="preserve"> nel 2018 rispetto al 2017 e comunque da ormai tre anni attestati intorno al </w:t>
      </w:r>
      <w:r w:rsidR="00CA29CB" w:rsidRPr="00321A24">
        <w:rPr>
          <w:b/>
          <w:sz w:val="24"/>
        </w:rPr>
        <w:t>40% della popolazione</w:t>
      </w:r>
      <w:r w:rsidR="00AD0DFD">
        <w:rPr>
          <w:sz w:val="24"/>
        </w:rPr>
        <w:t xml:space="preserve">. </w:t>
      </w:r>
      <w:r w:rsidR="00557BEC" w:rsidRPr="0015198A">
        <w:rPr>
          <w:sz w:val="24"/>
        </w:rPr>
        <w:t xml:space="preserve">Come evidenziato riguardo la fruizione in generale, anche per la lettura di libri si </w:t>
      </w:r>
      <w:r w:rsidR="00B82E77">
        <w:rPr>
          <w:sz w:val="24"/>
        </w:rPr>
        <w:t>rilevano</w:t>
      </w:r>
      <w:r w:rsidR="00557BEC" w:rsidRPr="0015198A">
        <w:rPr>
          <w:sz w:val="24"/>
        </w:rPr>
        <w:t xml:space="preserve"> le differenze regionali tra Nord e Sud del Paese, con dati migliori nelle regioni settentrionali, anche se nel caso della lettura nel Mezzogiorno ci sono valori molto buoni </w:t>
      </w:r>
      <w:r w:rsidR="0015198A" w:rsidRPr="0015198A">
        <w:rPr>
          <w:sz w:val="24"/>
        </w:rPr>
        <w:t>nella fascia di lettori medi (1-3 libri l’anno)</w:t>
      </w:r>
      <w:r w:rsidR="0015198A">
        <w:rPr>
          <w:sz w:val="24"/>
        </w:rPr>
        <w:t>. Sembra, dunque, che al Sud leggano meno persone, ma queste leggono di più.</w:t>
      </w:r>
    </w:p>
    <w:p w:rsidR="009056B4" w:rsidRPr="009056B4" w:rsidRDefault="009056B4" w:rsidP="00727B39">
      <w:pPr>
        <w:spacing w:after="60" w:line="276" w:lineRule="auto"/>
        <w:jc w:val="both"/>
        <w:rPr>
          <w:sz w:val="24"/>
        </w:rPr>
      </w:pPr>
      <w:r w:rsidRPr="009056B4">
        <w:rPr>
          <w:sz w:val="24"/>
        </w:rPr>
        <w:t xml:space="preserve">Anche su questo fronte i dati che riguardano il territorio </w:t>
      </w:r>
      <w:r w:rsidR="00093460">
        <w:rPr>
          <w:sz w:val="24"/>
        </w:rPr>
        <w:t xml:space="preserve">campano non sono </w:t>
      </w:r>
      <w:r w:rsidRPr="009056B4">
        <w:rPr>
          <w:sz w:val="24"/>
        </w:rPr>
        <w:t xml:space="preserve">positivi: </w:t>
      </w:r>
      <w:r w:rsidRPr="009056B4">
        <w:rPr>
          <w:b/>
          <w:sz w:val="24"/>
        </w:rPr>
        <w:t xml:space="preserve">la </w:t>
      </w:r>
      <w:r w:rsidR="00093460">
        <w:rPr>
          <w:b/>
          <w:sz w:val="24"/>
          <w:u w:val="single"/>
        </w:rPr>
        <w:t>Campania</w:t>
      </w:r>
      <w:r w:rsidRPr="009056B4">
        <w:rPr>
          <w:b/>
          <w:sz w:val="24"/>
        </w:rPr>
        <w:t xml:space="preserve"> è tra le regioni italiane </w:t>
      </w:r>
      <w:r w:rsidR="00093460">
        <w:rPr>
          <w:b/>
          <w:sz w:val="24"/>
        </w:rPr>
        <w:t xml:space="preserve">con la quota </w:t>
      </w:r>
      <w:r w:rsidRPr="009056B4">
        <w:rPr>
          <w:b/>
          <w:sz w:val="24"/>
        </w:rPr>
        <w:t>di lettori</w:t>
      </w:r>
      <w:r w:rsidR="00093460">
        <w:rPr>
          <w:b/>
          <w:sz w:val="24"/>
        </w:rPr>
        <w:t xml:space="preserve"> più bassa</w:t>
      </w:r>
      <w:r w:rsidRPr="009056B4">
        <w:rPr>
          <w:b/>
          <w:sz w:val="24"/>
        </w:rPr>
        <w:t xml:space="preserve">, </w:t>
      </w:r>
      <w:r w:rsidR="00093460">
        <w:rPr>
          <w:b/>
          <w:sz w:val="24"/>
        </w:rPr>
        <w:t>il 25</w:t>
      </w:r>
      <w:r w:rsidRPr="009056B4">
        <w:rPr>
          <w:b/>
          <w:sz w:val="24"/>
        </w:rPr>
        <w:t>%</w:t>
      </w:r>
      <w:r w:rsidR="00F924C5">
        <w:rPr>
          <w:b/>
          <w:sz w:val="24"/>
        </w:rPr>
        <w:t>,</w:t>
      </w:r>
      <w:r w:rsidRPr="009056B4">
        <w:rPr>
          <w:b/>
          <w:sz w:val="24"/>
        </w:rPr>
        <w:t xml:space="preserve"> </w:t>
      </w:r>
      <w:r w:rsidRPr="009056B4">
        <w:rPr>
          <w:sz w:val="24"/>
        </w:rPr>
        <w:t xml:space="preserve">di ben </w:t>
      </w:r>
      <w:r w:rsidR="00093460">
        <w:rPr>
          <w:sz w:val="24"/>
        </w:rPr>
        <w:t>quindici</w:t>
      </w:r>
      <w:r w:rsidRPr="009056B4">
        <w:rPr>
          <w:sz w:val="24"/>
        </w:rPr>
        <w:t xml:space="preserve"> punti percentuali al di </w:t>
      </w:r>
      <w:r w:rsidR="00093460">
        <w:rPr>
          <w:sz w:val="24"/>
        </w:rPr>
        <w:t>sotto</w:t>
      </w:r>
      <w:r w:rsidRPr="009056B4">
        <w:rPr>
          <w:sz w:val="24"/>
        </w:rPr>
        <w:t xml:space="preserve"> della media nazionale</w:t>
      </w:r>
      <w:r w:rsidR="00F924C5">
        <w:rPr>
          <w:sz w:val="24"/>
        </w:rPr>
        <w:t xml:space="preserve">, dato peraltro </w:t>
      </w:r>
      <w:r w:rsidR="00F924C5" w:rsidRPr="00F924C5">
        <w:rPr>
          <w:b/>
          <w:sz w:val="24"/>
        </w:rPr>
        <w:t xml:space="preserve">in </w:t>
      </w:r>
      <w:r w:rsidR="00093460">
        <w:rPr>
          <w:b/>
          <w:sz w:val="24"/>
        </w:rPr>
        <w:t>calo</w:t>
      </w:r>
      <w:r w:rsidR="00F924C5" w:rsidRPr="00F924C5">
        <w:rPr>
          <w:b/>
          <w:sz w:val="24"/>
        </w:rPr>
        <w:t xml:space="preserve"> rispetto all’anno precedente </w:t>
      </w:r>
      <w:r w:rsidR="00093460">
        <w:rPr>
          <w:b/>
          <w:sz w:val="24"/>
        </w:rPr>
        <w:t>dell’8</w:t>
      </w:r>
      <w:r w:rsidR="00F924C5" w:rsidRPr="00093460">
        <w:rPr>
          <w:sz w:val="24"/>
        </w:rPr>
        <w:t>%</w:t>
      </w:r>
      <w:r w:rsidR="00093460" w:rsidRPr="00093460">
        <w:rPr>
          <w:sz w:val="24"/>
        </w:rPr>
        <w:t>, mente sono in crescita i lettori forti (12 o più libri) del 7%</w:t>
      </w:r>
      <w:r w:rsidR="00F924C5" w:rsidRPr="00093460">
        <w:rPr>
          <w:sz w:val="24"/>
        </w:rPr>
        <w:t>.</w:t>
      </w:r>
    </w:p>
    <w:p w:rsidR="00557BEC" w:rsidRPr="00557BEC" w:rsidRDefault="00557BEC" w:rsidP="00557BEC">
      <w:pPr>
        <w:spacing w:after="0" w:line="240" w:lineRule="auto"/>
        <w:jc w:val="center"/>
        <w:rPr>
          <w:rFonts w:eastAsia="Times New Roman" w:cstheme="minorHAnsi"/>
          <w:szCs w:val="20"/>
          <w:lang w:eastAsia="it-IT"/>
        </w:rPr>
      </w:pPr>
      <w:r w:rsidRPr="00557BEC">
        <w:rPr>
          <w:rFonts w:eastAsia="Times New Roman" w:cstheme="minorHAnsi"/>
          <w:b/>
          <w:bCs/>
          <w:szCs w:val="20"/>
          <w:lang w:eastAsia="it-IT"/>
        </w:rPr>
        <w:t>Persone di 6 anni o più che hanno letto libri negli ultimi 12 mesi per ripartizione geografica, 2018</w:t>
      </w:r>
    </w:p>
    <w:p w:rsidR="00557BEC" w:rsidRPr="00AD0DFD" w:rsidRDefault="00557BEC" w:rsidP="00557BEC">
      <w:pPr>
        <w:spacing w:after="0" w:line="240" w:lineRule="auto"/>
        <w:jc w:val="center"/>
        <w:rPr>
          <w:i/>
          <w:highlight w:val="yellow"/>
        </w:rPr>
      </w:pPr>
      <w:r w:rsidRPr="00AD0DFD">
        <w:rPr>
          <w:rFonts w:eastAsia="Times New Roman" w:cstheme="minorHAnsi"/>
          <w:i/>
          <w:sz w:val="20"/>
          <w:szCs w:val="20"/>
          <w:lang w:eastAsia="it-IT"/>
        </w:rPr>
        <w:t>(</w:t>
      </w:r>
      <w:proofErr w:type="gramStart"/>
      <w:r w:rsidRPr="00AD0DFD">
        <w:rPr>
          <w:rFonts w:eastAsia="Times New Roman" w:cstheme="minorHAnsi"/>
          <w:i/>
          <w:sz w:val="20"/>
          <w:szCs w:val="20"/>
          <w:lang w:eastAsia="it-IT"/>
        </w:rPr>
        <w:t>per</w:t>
      </w:r>
      <w:proofErr w:type="gramEnd"/>
      <w:r w:rsidRPr="00AD0DFD">
        <w:rPr>
          <w:rFonts w:eastAsia="Times New Roman" w:cstheme="minorHAnsi"/>
          <w:i/>
          <w:sz w:val="20"/>
          <w:szCs w:val="20"/>
          <w:lang w:eastAsia="it-IT"/>
        </w:rPr>
        <w:t xml:space="preserve"> 100 persone con le stesse caratteristiche)</w:t>
      </w:r>
    </w:p>
    <w:tbl>
      <w:tblPr>
        <w:tblW w:w="6300" w:type="dxa"/>
        <w:jc w:val="center"/>
        <w:tblCellMar>
          <w:left w:w="70" w:type="dxa"/>
          <w:right w:w="70" w:type="dxa"/>
        </w:tblCellMar>
        <w:tblLook w:val="04A0" w:firstRow="1" w:lastRow="0" w:firstColumn="1" w:lastColumn="0" w:noHBand="0" w:noVBand="1"/>
      </w:tblPr>
      <w:tblGrid>
        <w:gridCol w:w="2100"/>
        <w:gridCol w:w="1640"/>
        <w:gridCol w:w="1280"/>
        <w:gridCol w:w="1280"/>
      </w:tblGrid>
      <w:tr w:rsidR="00557BEC" w:rsidRPr="00557BEC" w:rsidTr="00AD0DFD">
        <w:trPr>
          <w:trHeight w:val="227"/>
          <w:jc w:val="center"/>
        </w:trPr>
        <w:tc>
          <w:tcPr>
            <w:tcW w:w="2100" w:type="dxa"/>
            <w:tcBorders>
              <w:top w:val="single" w:sz="4" w:space="0" w:color="auto"/>
              <w:left w:val="nil"/>
              <w:bottom w:val="single" w:sz="4" w:space="0" w:color="auto"/>
              <w:right w:val="nil"/>
            </w:tcBorders>
            <w:shd w:val="clear" w:color="auto" w:fill="auto"/>
            <w:noWrap/>
            <w:vAlign w:val="bottom"/>
            <w:hideMark/>
          </w:tcPr>
          <w:p w:rsidR="00557BEC" w:rsidRPr="00557BEC" w:rsidRDefault="00557BEC" w:rsidP="00557BEC">
            <w:pPr>
              <w:spacing w:after="0" w:line="240" w:lineRule="auto"/>
              <w:rPr>
                <w:rFonts w:eastAsia="Times New Roman" w:cstheme="minorHAnsi"/>
                <w:b/>
                <w:bCs/>
                <w:color w:val="000000"/>
                <w:sz w:val="20"/>
                <w:szCs w:val="20"/>
                <w:lang w:eastAsia="it-IT"/>
              </w:rPr>
            </w:pPr>
          </w:p>
        </w:tc>
        <w:tc>
          <w:tcPr>
            <w:tcW w:w="1640" w:type="dxa"/>
            <w:tcBorders>
              <w:top w:val="single" w:sz="4" w:space="0" w:color="auto"/>
              <w:left w:val="nil"/>
              <w:bottom w:val="single" w:sz="4" w:space="0" w:color="auto"/>
              <w:right w:val="nil"/>
            </w:tcBorders>
            <w:shd w:val="clear" w:color="auto" w:fill="auto"/>
            <w:vAlign w:val="center"/>
            <w:hideMark/>
          </w:tcPr>
          <w:p w:rsidR="00557BEC" w:rsidRPr="00557BEC" w:rsidRDefault="00557BEC" w:rsidP="00557BEC">
            <w:pPr>
              <w:spacing w:after="0" w:line="240" w:lineRule="auto"/>
              <w:jc w:val="center"/>
              <w:rPr>
                <w:rFonts w:eastAsia="Times New Roman" w:cstheme="minorHAnsi"/>
                <w:b/>
                <w:bCs/>
                <w:color w:val="000000"/>
                <w:sz w:val="20"/>
                <w:szCs w:val="20"/>
                <w:lang w:eastAsia="it-IT"/>
              </w:rPr>
            </w:pPr>
            <w:proofErr w:type="gramStart"/>
            <w:r w:rsidRPr="00557BEC">
              <w:rPr>
                <w:rFonts w:eastAsia="Times New Roman" w:cstheme="minorHAnsi"/>
                <w:b/>
                <w:bCs/>
                <w:color w:val="000000"/>
                <w:sz w:val="20"/>
                <w:szCs w:val="20"/>
                <w:lang w:eastAsia="it-IT"/>
              </w:rPr>
              <w:t>almeno</w:t>
            </w:r>
            <w:proofErr w:type="gramEnd"/>
            <w:r w:rsidRPr="00557BEC">
              <w:rPr>
                <w:rFonts w:eastAsia="Times New Roman" w:cstheme="minorHAnsi"/>
                <w:b/>
                <w:bCs/>
                <w:color w:val="000000"/>
                <w:sz w:val="20"/>
                <w:szCs w:val="20"/>
                <w:lang w:eastAsia="it-IT"/>
              </w:rPr>
              <w:t xml:space="preserve"> 1 libro</w:t>
            </w:r>
          </w:p>
        </w:tc>
        <w:tc>
          <w:tcPr>
            <w:tcW w:w="1280" w:type="dxa"/>
            <w:tcBorders>
              <w:top w:val="single" w:sz="4" w:space="0" w:color="auto"/>
              <w:left w:val="nil"/>
              <w:bottom w:val="single" w:sz="4" w:space="0" w:color="auto"/>
              <w:right w:val="nil"/>
            </w:tcBorders>
            <w:shd w:val="clear" w:color="auto" w:fill="auto"/>
            <w:vAlign w:val="center"/>
            <w:hideMark/>
          </w:tcPr>
          <w:p w:rsidR="00557BEC" w:rsidRPr="00557BEC" w:rsidRDefault="00557BEC" w:rsidP="00557BEC">
            <w:pPr>
              <w:spacing w:after="0" w:line="240" w:lineRule="auto"/>
              <w:jc w:val="center"/>
              <w:rPr>
                <w:rFonts w:eastAsia="Times New Roman" w:cstheme="minorHAnsi"/>
                <w:b/>
                <w:bCs/>
                <w:color w:val="000000"/>
                <w:sz w:val="20"/>
                <w:szCs w:val="20"/>
                <w:lang w:eastAsia="it-IT"/>
              </w:rPr>
            </w:pPr>
            <w:proofErr w:type="gramStart"/>
            <w:r w:rsidRPr="00557BEC">
              <w:rPr>
                <w:rFonts w:eastAsia="Times New Roman" w:cstheme="minorHAnsi"/>
                <w:b/>
                <w:bCs/>
                <w:color w:val="000000"/>
                <w:sz w:val="20"/>
                <w:szCs w:val="20"/>
                <w:lang w:eastAsia="it-IT"/>
              </w:rPr>
              <w:t>da</w:t>
            </w:r>
            <w:proofErr w:type="gramEnd"/>
            <w:r w:rsidRPr="00557BEC">
              <w:rPr>
                <w:rFonts w:eastAsia="Times New Roman" w:cstheme="minorHAnsi"/>
                <w:b/>
                <w:bCs/>
                <w:color w:val="000000"/>
                <w:sz w:val="20"/>
                <w:szCs w:val="20"/>
                <w:lang w:eastAsia="it-IT"/>
              </w:rPr>
              <w:t xml:space="preserve"> 1 a 3 libri</w:t>
            </w:r>
          </w:p>
        </w:tc>
        <w:tc>
          <w:tcPr>
            <w:tcW w:w="1280" w:type="dxa"/>
            <w:tcBorders>
              <w:top w:val="single" w:sz="4" w:space="0" w:color="auto"/>
              <w:left w:val="nil"/>
              <w:bottom w:val="single" w:sz="4" w:space="0" w:color="auto"/>
              <w:right w:val="nil"/>
            </w:tcBorders>
            <w:shd w:val="clear" w:color="auto" w:fill="auto"/>
            <w:vAlign w:val="center"/>
            <w:hideMark/>
          </w:tcPr>
          <w:p w:rsidR="00557BEC" w:rsidRPr="00557BEC" w:rsidRDefault="00557BEC" w:rsidP="00557BEC">
            <w:pPr>
              <w:spacing w:after="0" w:line="240" w:lineRule="auto"/>
              <w:jc w:val="center"/>
              <w:rPr>
                <w:rFonts w:eastAsia="Times New Roman" w:cstheme="minorHAnsi"/>
                <w:b/>
                <w:bCs/>
                <w:color w:val="000000"/>
                <w:sz w:val="20"/>
                <w:szCs w:val="20"/>
                <w:lang w:eastAsia="it-IT"/>
              </w:rPr>
            </w:pPr>
            <w:r w:rsidRPr="00557BEC">
              <w:rPr>
                <w:rFonts w:eastAsia="Times New Roman" w:cstheme="minorHAnsi"/>
                <w:b/>
                <w:bCs/>
                <w:color w:val="000000"/>
                <w:sz w:val="20"/>
                <w:szCs w:val="20"/>
                <w:lang w:eastAsia="it-IT"/>
              </w:rPr>
              <w:t>12 o più libri</w:t>
            </w:r>
          </w:p>
        </w:tc>
      </w:tr>
      <w:tr w:rsidR="00557BEC" w:rsidRPr="00557BEC" w:rsidTr="00AD0DFD">
        <w:trPr>
          <w:trHeight w:val="227"/>
          <w:jc w:val="center"/>
        </w:trPr>
        <w:tc>
          <w:tcPr>
            <w:tcW w:w="210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rPr>
                <w:rFonts w:eastAsia="Times New Roman" w:cstheme="minorHAnsi"/>
                <w:color w:val="000000"/>
                <w:sz w:val="20"/>
                <w:szCs w:val="20"/>
                <w:lang w:eastAsia="it-IT"/>
              </w:rPr>
            </w:pPr>
            <w:r w:rsidRPr="00557BEC">
              <w:rPr>
                <w:rFonts w:eastAsia="Times New Roman" w:cstheme="minorHAnsi"/>
                <w:color w:val="000000"/>
                <w:sz w:val="20"/>
                <w:szCs w:val="20"/>
                <w:lang w:eastAsia="it-IT"/>
              </w:rPr>
              <w:t>Friuli-Venezia Giulia</w:t>
            </w:r>
          </w:p>
        </w:tc>
        <w:tc>
          <w:tcPr>
            <w:tcW w:w="164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51,7</w:t>
            </w:r>
          </w:p>
        </w:tc>
        <w:tc>
          <w:tcPr>
            <w:tcW w:w="128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42,2</w:t>
            </w:r>
          </w:p>
        </w:tc>
        <w:tc>
          <w:tcPr>
            <w:tcW w:w="128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19,0</w:t>
            </w:r>
          </w:p>
        </w:tc>
      </w:tr>
      <w:tr w:rsidR="00557BEC" w:rsidRPr="00557BEC" w:rsidTr="00AD0DFD">
        <w:trPr>
          <w:trHeight w:val="227"/>
          <w:jc w:val="center"/>
        </w:trPr>
        <w:tc>
          <w:tcPr>
            <w:tcW w:w="2100" w:type="dxa"/>
            <w:tcBorders>
              <w:top w:val="nil"/>
              <w:left w:val="nil"/>
              <w:bottom w:val="nil"/>
              <w:right w:val="nil"/>
            </w:tcBorders>
            <w:shd w:val="clear" w:color="auto" w:fill="auto"/>
            <w:vAlign w:val="center"/>
            <w:hideMark/>
          </w:tcPr>
          <w:p w:rsidR="00557BEC" w:rsidRPr="00557BEC" w:rsidRDefault="00557BEC" w:rsidP="00557BEC">
            <w:pPr>
              <w:spacing w:after="0" w:line="240" w:lineRule="auto"/>
              <w:rPr>
                <w:rFonts w:eastAsia="Times New Roman" w:cstheme="minorHAnsi"/>
                <w:color w:val="000000"/>
                <w:sz w:val="20"/>
                <w:szCs w:val="20"/>
                <w:lang w:eastAsia="it-IT"/>
              </w:rPr>
            </w:pPr>
            <w:r w:rsidRPr="00557BEC">
              <w:rPr>
                <w:rFonts w:eastAsia="Times New Roman" w:cstheme="minorHAnsi"/>
                <w:color w:val="000000"/>
                <w:sz w:val="20"/>
                <w:szCs w:val="20"/>
                <w:lang w:eastAsia="it-IT"/>
              </w:rPr>
              <w:t>Trentino-Alto Adige</w:t>
            </w:r>
          </w:p>
        </w:tc>
        <w:tc>
          <w:tcPr>
            <w:tcW w:w="164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51,6</w:t>
            </w:r>
          </w:p>
        </w:tc>
        <w:tc>
          <w:tcPr>
            <w:tcW w:w="128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38,7</w:t>
            </w:r>
          </w:p>
        </w:tc>
        <w:tc>
          <w:tcPr>
            <w:tcW w:w="128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21,5</w:t>
            </w:r>
          </w:p>
        </w:tc>
      </w:tr>
      <w:tr w:rsidR="00557BEC" w:rsidRPr="00093460" w:rsidTr="00AD0DFD">
        <w:trPr>
          <w:trHeight w:val="227"/>
          <w:jc w:val="center"/>
        </w:trPr>
        <w:tc>
          <w:tcPr>
            <w:tcW w:w="2100" w:type="dxa"/>
            <w:tcBorders>
              <w:top w:val="nil"/>
              <w:left w:val="nil"/>
              <w:bottom w:val="nil"/>
              <w:right w:val="nil"/>
            </w:tcBorders>
            <w:shd w:val="clear" w:color="auto" w:fill="auto"/>
            <w:noWrap/>
            <w:vAlign w:val="center"/>
            <w:hideMark/>
          </w:tcPr>
          <w:p w:rsidR="00557BEC" w:rsidRPr="00093460" w:rsidRDefault="00557BEC" w:rsidP="00557BEC">
            <w:pPr>
              <w:spacing w:after="0" w:line="240" w:lineRule="auto"/>
              <w:rPr>
                <w:rFonts w:eastAsia="Times New Roman" w:cstheme="minorHAnsi"/>
                <w:sz w:val="20"/>
                <w:szCs w:val="20"/>
                <w:lang w:eastAsia="it-IT"/>
              </w:rPr>
            </w:pPr>
            <w:r w:rsidRPr="00093460">
              <w:rPr>
                <w:rFonts w:eastAsia="Times New Roman" w:cstheme="minorHAnsi"/>
                <w:sz w:val="20"/>
                <w:szCs w:val="20"/>
                <w:lang w:eastAsia="it-IT"/>
              </w:rPr>
              <w:t>Lombardia</w:t>
            </w:r>
          </w:p>
        </w:tc>
        <w:tc>
          <w:tcPr>
            <w:tcW w:w="1640" w:type="dxa"/>
            <w:tcBorders>
              <w:top w:val="nil"/>
              <w:left w:val="nil"/>
              <w:bottom w:val="nil"/>
              <w:right w:val="nil"/>
            </w:tcBorders>
            <w:shd w:val="clear" w:color="auto" w:fill="auto"/>
            <w:noWrap/>
            <w:vAlign w:val="center"/>
            <w:hideMark/>
          </w:tcPr>
          <w:p w:rsidR="00557BEC" w:rsidRPr="00093460" w:rsidRDefault="00557BEC" w:rsidP="00557BEC">
            <w:pPr>
              <w:spacing w:after="0" w:line="240" w:lineRule="auto"/>
              <w:jc w:val="center"/>
              <w:rPr>
                <w:rFonts w:eastAsia="Times New Roman" w:cstheme="minorHAnsi"/>
                <w:sz w:val="20"/>
                <w:szCs w:val="20"/>
                <w:lang w:eastAsia="it-IT"/>
              </w:rPr>
            </w:pPr>
            <w:r w:rsidRPr="00093460">
              <w:rPr>
                <w:rFonts w:eastAsia="Times New Roman" w:cstheme="minorHAnsi"/>
                <w:sz w:val="20"/>
                <w:szCs w:val="20"/>
                <w:lang w:eastAsia="it-IT"/>
              </w:rPr>
              <w:t>49,9</w:t>
            </w:r>
          </w:p>
        </w:tc>
        <w:tc>
          <w:tcPr>
            <w:tcW w:w="1280" w:type="dxa"/>
            <w:tcBorders>
              <w:top w:val="nil"/>
              <w:left w:val="nil"/>
              <w:bottom w:val="nil"/>
              <w:right w:val="nil"/>
            </w:tcBorders>
            <w:shd w:val="clear" w:color="auto" w:fill="auto"/>
            <w:noWrap/>
            <w:vAlign w:val="center"/>
            <w:hideMark/>
          </w:tcPr>
          <w:p w:rsidR="00557BEC" w:rsidRPr="00093460" w:rsidRDefault="00557BEC" w:rsidP="00557BEC">
            <w:pPr>
              <w:spacing w:after="0" w:line="240" w:lineRule="auto"/>
              <w:jc w:val="center"/>
              <w:rPr>
                <w:rFonts w:eastAsia="Times New Roman" w:cstheme="minorHAnsi"/>
                <w:sz w:val="20"/>
                <w:szCs w:val="20"/>
                <w:lang w:eastAsia="it-IT"/>
              </w:rPr>
            </w:pPr>
            <w:r w:rsidRPr="00093460">
              <w:rPr>
                <w:rFonts w:eastAsia="Times New Roman" w:cstheme="minorHAnsi"/>
                <w:sz w:val="20"/>
                <w:szCs w:val="20"/>
                <w:lang w:eastAsia="it-IT"/>
              </w:rPr>
              <w:t>42,2</w:t>
            </w:r>
          </w:p>
        </w:tc>
        <w:tc>
          <w:tcPr>
            <w:tcW w:w="1280" w:type="dxa"/>
            <w:tcBorders>
              <w:top w:val="nil"/>
              <w:left w:val="nil"/>
              <w:bottom w:val="nil"/>
              <w:right w:val="nil"/>
            </w:tcBorders>
            <w:shd w:val="clear" w:color="auto" w:fill="auto"/>
            <w:noWrap/>
            <w:vAlign w:val="center"/>
            <w:hideMark/>
          </w:tcPr>
          <w:p w:rsidR="00557BEC" w:rsidRPr="00093460" w:rsidRDefault="00557BEC" w:rsidP="00557BEC">
            <w:pPr>
              <w:spacing w:after="0" w:line="240" w:lineRule="auto"/>
              <w:jc w:val="center"/>
              <w:rPr>
                <w:rFonts w:eastAsia="Times New Roman" w:cstheme="minorHAnsi"/>
                <w:sz w:val="20"/>
                <w:szCs w:val="20"/>
                <w:lang w:eastAsia="it-IT"/>
              </w:rPr>
            </w:pPr>
            <w:r w:rsidRPr="00093460">
              <w:rPr>
                <w:rFonts w:eastAsia="Times New Roman" w:cstheme="minorHAnsi"/>
                <w:sz w:val="20"/>
                <w:szCs w:val="20"/>
                <w:lang w:eastAsia="it-IT"/>
              </w:rPr>
              <w:t>18,7</w:t>
            </w:r>
          </w:p>
        </w:tc>
      </w:tr>
      <w:tr w:rsidR="00557BEC" w:rsidRPr="00557BEC" w:rsidTr="00AD0DFD">
        <w:trPr>
          <w:trHeight w:val="227"/>
          <w:jc w:val="center"/>
        </w:trPr>
        <w:tc>
          <w:tcPr>
            <w:tcW w:w="210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rPr>
                <w:rFonts w:eastAsia="Times New Roman" w:cstheme="minorHAnsi"/>
                <w:color w:val="000000"/>
                <w:sz w:val="20"/>
                <w:szCs w:val="20"/>
                <w:lang w:eastAsia="it-IT"/>
              </w:rPr>
            </w:pPr>
            <w:r w:rsidRPr="00557BEC">
              <w:rPr>
                <w:rFonts w:eastAsia="Times New Roman" w:cstheme="minorHAnsi"/>
                <w:color w:val="000000"/>
                <w:sz w:val="20"/>
                <w:szCs w:val="20"/>
                <w:lang w:eastAsia="it-IT"/>
              </w:rPr>
              <w:t>Piemonte</w:t>
            </w:r>
          </w:p>
        </w:tc>
        <w:tc>
          <w:tcPr>
            <w:tcW w:w="164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48,9</w:t>
            </w:r>
          </w:p>
        </w:tc>
        <w:tc>
          <w:tcPr>
            <w:tcW w:w="128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40,3</w:t>
            </w:r>
          </w:p>
        </w:tc>
        <w:tc>
          <w:tcPr>
            <w:tcW w:w="128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18,5</w:t>
            </w:r>
          </w:p>
        </w:tc>
      </w:tr>
      <w:tr w:rsidR="00557BEC" w:rsidRPr="00557BEC" w:rsidTr="00AD0DFD">
        <w:trPr>
          <w:trHeight w:val="227"/>
          <w:jc w:val="center"/>
        </w:trPr>
        <w:tc>
          <w:tcPr>
            <w:tcW w:w="210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rPr>
                <w:rFonts w:eastAsia="Times New Roman" w:cstheme="minorHAnsi"/>
                <w:color w:val="000000"/>
                <w:sz w:val="20"/>
                <w:szCs w:val="20"/>
                <w:lang w:eastAsia="it-IT"/>
              </w:rPr>
            </w:pPr>
            <w:r w:rsidRPr="00557BEC">
              <w:rPr>
                <w:rFonts w:eastAsia="Times New Roman" w:cstheme="minorHAnsi"/>
                <w:color w:val="000000"/>
                <w:sz w:val="20"/>
                <w:szCs w:val="20"/>
                <w:lang w:eastAsia="it-IT"/>
              </w:rPr>
              <w:t>Toscana</w:t>
            </w:r>
          </w:p>
        </w:tc>
        <w:tc>
          <w:tcPr>
            <w:tcW w:w="164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48,3</w:t>
            </w:r>
          </w:p>
        </w:tc>
        <w:tc>
          <w:tcPr>
            <w:tcW w:w="128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44,9</w:t>
            </w:r>
          </w:p>
        </w:tc>
        <w:tc>
          <w:tcPr>
            <w:tcW w:w="128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13,1</w:t>
            </w:r>
          </w:p>
        </w:tc>
      </w:tr>
      <w:tr w:rsidR="00557BEC" w:rsidRPr="00557BEC" w:rsidTr="00AD0DFD">
        <w:trPr>
          <w:trHeight w:val="227"/>
          <w:jc w:val="center"/>
        </w:trPr>
        <w:tc>
          <w:tcPr>
            <w:tcW w:w="210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rPr>
                <w:rFonts w:eastAsia="Times New Roman" w:cstheme="minorHAnsi"/>
                <w:color w:val="000000"/>
                <w:sz w:val="20"/>
                <w:szCs w:val="20"/>
                <w:lang w:eastAsia="it-IT"/>
              </w:rPr>
            </w:pPr>
            <w:r w:rsidRPr="00557BEC">
              <w:rPr>
                <w:rFonts w:eastAsia="Times New Roman" w:cstheme="minorHAnsi"/>
                <w:color w:val="000000"/>
                <w:sz w:val="20"/>
                <w:szCs w:val="20"/>
                <w:lang w:eastAsia="it-IT"/>
              </w:rPr>
              <w:t>Emilia-Romagna</w:t>
            </w:r>
          </w:p>
        </w:tc>
        <w:tc>
          <w:tcPr>
            <w:tcW w:w="164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48,1</w:t>
            </w:r>
          </w:p>
        </w:tc>
        <w:tc>
          <w:tcPr>
            <w:tcW w:w="128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43,0</w:t>
            </w:r>
          </w:p>
        </w:tc>
        <w:tc>
          <w:tcPr>
            <w:tcW w:w="128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15,4</w:t>
            </w:r>
          </w:p>
        </w:tc>
      </w:tr>
      <w:tr w:rsidR="00557BEC" w:rsidRPr="00557BEC" w:rsidTr="00AD0DFD">
        <w:trPr>
          <w:trHeight w:val="227"/>
          <w:jc w:val="center"/>
        </w:trPr>
        <w:tc>
          <w:tcPr>
            <w:tcW w:w="210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rPr>
                <w:rFonts w:eastAsia="Times New Roman" w:cstheme="minorHAnsi"/>
                <w:color w:val="000000"/>
                <w:sz w:val="20"/>
                <w:szCs w:val="20"/>
                <w:lang w:eastAsia="it-IT"/>
              </w:rPr>
            </w:pPr>
            <w:r w:rsidRPr="00557BEC">
              <w:rPr>
                <w:rFonts w:eastAsia="Times New Roman" w:cstheme="minorHAnsi"/>
                <w:color w:val="000000"/>
                <w:sz w:val="20"/>
                <w:szCs w:val="20"/>
                <w:lang w:eastAsia="it-IT"/>
              </w:rPr>
              <w:t>Liguria</w:t>
            </w:r>
          </w:p>
        </w:tc>
        <w:tc>
          <w:tcPr>
            <w:tcW w:w="164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47,9</w:t>
            </w:r>
          </w:p>
        </w:tc>
        <w:tc>
          <w:tcPr>
            <w:tcW w:w="128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38,2</w:t>
            </w:r>
          </w:p>
        </w:tc>
        <w:tc>
          <w:tcPr>
            <w:tcW w:w="128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16,6</w:t>
            </w:r>
          </w:p>
        </w:tc>
      </w:tr>
      <w:tr w:rsidR="00557BEC" w:rsidRPr="00557BEC" w:rsidTr="00AD0DFD">
        <w:trPr>
          <w:trHeight w:val="227"/>
          <w:jc w:val="center"/>
        </w:trPr>
        <w:tc>
          <w:tcPr>
            <w:tcW w:w="210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rPr>
                <w:rFonts w:eastAsia="Times New Roman" w:cstheme="minorHAnsi"/>
                <w:color w:val="000000"/>
                <w:sz w:val="20"/>
                <w:szCs w:val="20"/>
                <w:lang w:eastAsia="it-IT"/>
              </w:rPr>
            </w:pPr>
            <w:r w:rsidRPr="00557BEC">
              <w:rPr>
                <w:rFonts w:eastAsia="Times New Roman" w:cstheme="minorHAnsi"/>
                <w:color w:val="000000"/>
                <w:sz w:val="20"/>
                <w:szCs w:val="20"/>
                <w:lang w:eastAsia="it-IT"/>
              </w:rPr>
              <w:t>Veneto</w:t>
            </w:r>
          </w:p>
        </w:tc>
        <w:tc>
          <w:tcPr>
            <w:tcW w:w="164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47,3</w:t>
            </w:r>
          </w:p>
        </w:tc>
        <w:tc>
          <w:tcPr>
            <w:tcW w:w="128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46,8</w:t>
            </w:r>
          </w:p>
        </w:tc>
        <w:tc>
          <w:tcPr>
            <w:tcW w:w="128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14,8</w:t>
            </w:r>
          </w:p>
        </w:tc>
      </w:tr>
      <w:tr w:rsidR="00557BEC" w:rsidRPr="00557BEC" w:rsidTr="00AD0DFD">
        <w:trPr>
          <w:trHeight w:val="227"/>
          <w:jc w:val="center"/>
        </w:trPr>
        <w:tc>
          <w:tcPr>
            <w:tcW w:w="210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rPr>
                <w:rFonts w:eastAsia="Times New Roman" w:cstheme="minorHAnsi"/>
                <w:color w:val="000000"/>
                <w:sz w:val="20"/>
                <w:szCs w:val="20"/>
                <w:lang w:eastAsia="it-IT"/>
              </w:rPr>
            </w:pPr>
            <w:r w:rsidRPr="00557BEC">
              <w:rPr>
                <w:rFonts w:eastAsia="Times New Roman" w:cstheme="minorHAnsi"/>
                <w:color w:val="000000"/>
                <w:sz w:val="20"/>
                <w:szCs w:val="20"/>
                <w:lang w:eastAsia="it-IT"/>
              </w:rPr>
              <w:t>Valle d'Aosta</w:t>
            </w:r>
          </w:p>
        </w:tc>
        <w:tc>
          <w:tcPr>
            <w:tcW w:w="164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47,1</w:t>
            </w:r>
          </w:p>
        </w:tc>
        <w:tc>
          <w:tcPr>
            <w:tcW w:w="128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32,6</w:t>
            </w:r>
          </w:p>
        </w:tc>
        <w:tc>
          <w:tcPr>
            <w:tcW w:w="128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21,2</w:t>
            </w:r>
          </w:p>
        </w:tc>
      </w:tr>
      <w:tr w:rsidR="00557BEC" w:rsidRPr="00557BEC" w:rsidTr="00AD0DFD">
        <w:trPr>
          <w:trHeight w:val="227"/>
          <w:jc w:val="center"/>
        </w:trPr>
        <w:tc>
          <w:tcPr>
            <w:tcW w:w="210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rPr>
                <w:rFonts w:eastAsia="Times New Roman" w:cstheme="minorHAnsi"/>
                <w:color w:val="000000"/>
                <w:sz w:val="20"/>
                <w:szCs w:val="20"/>
                <w:lang w:eastAsia="it-IT"/>
              </w:rPr>
            </w:pPr>
            <w:r w:rsidRPr="00557BEC">
              <w:rPr>
                <w:rFonts w:eastAsia="Times New Roman" w:cstheme="minorHAnsi"/>
                <w:color w:val="000000"/>
                <w:sz w:val="20"/>
                <w:szCs w:val="20"/>
                <w:lang w:eastAsia="it-IT"/>
              </w:rPr>
              <w:t>Sardegna</w:t>
            </w:r>
          </w:p>
        </w:tc>
        <w:tc>
          <w:tcPr>
            <w:tcW w:w="164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44,7</w:t>
            </w:r>
          </w:p>
        </w:tc>
        <w:tc>
          <w:tcPr>
            <w:tcW w:w="128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46,2</w:t>
            </w:r>
          </w:p>
        </w:tc>
        <w:tc>
          <w:tcPr>
            <w:tcW w:w="128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13,3</w:t>
            </w:r>
          </w:p>
        </w:tc>
      </w:tr>
      <w:tr w:rsidR="00557BEC" w:rsidRPr="00557BEC" w:rsidTr="00AD0DFD">
        <w:trPr>
          <w:trHeight w:val="227"/>
          <w:jc w:val="center"/>
        </w:trPr>
        <w:tc>
          <w:tcPr>
            <w:tcW w:w="210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rPr>
                <w:rFonts w:eastAsia="Times New Roman" w:cstheme="minorHAnsi"/>
                <w:color w:val="000000"/>
                <w:sz w:val="20"/>
                <w:szCs w:val="20"/>
                <w:lang w:eastAsia="it-IT"/>
              </w:rPr>
            </w:pPr>
            <w:r w:rsidRPr="00557BEC">
              <w:rPr>
                <w:rFonts w:eastAsia="Times New Roman" w:cstheme="minorHAnsi"/>
                <w:color w:val="000000"/>
                <w:sz w:val="20"/>
                <w:szCs w:val="20"/>
                <w:lang w:eastAsia="it-IT"/>
              </w:rPr>
              <w:t>Lazio</w:t>
            </w:r>
          </w:p>
        </w:tc>
        <w:tc>
          <w:tcPr>
            <w:tcW w:w="164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42,3</w:t>
            </w:r>
          </w:p>
        </w:tc>
        <w:tc>
          <w:tcPr>
            <w:tcW w:w="128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46,0</w:t>
            </w:r>
          </w:p>
        </w:tc>
        <w:tc>
          <w:tcPr>
            <w:tcW w:w="128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12,4</w:t>
            </w:r>
          </w:p>
        </w:tc>
      </w:tr>
      <w:tr w:rsidR="00557BEC" w:rsidRPr="00557BEC" w:rsidTr="00AD0DFD">
        <w:trPr>
          <w:trHeight w:val="227"/>
          <w:jc w:val="center"/>
        </w:trPr>
        <w:tc>
          <w:tcPr>
            <w:tcW w:w="210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rPr>
                <w:rFonts w:eastAsia="Times New Roman" w:cstheme="minorHAnsi"/>
                <w:color w:val="000000"/>
                <w:sz w:val="20"/>
                <w:szCs w:val="20"/>
                <w:lang w:eastAsia="it-IT"/>
              </w:rPr>
            </w:pPr>
            <w:r w:rsidRPr="00557BEC">
              <w:rPr>
                <w:rFonts w:eastAsia="Times New Roman" w:cstheme="minorHAnsi"/>
                <w:color w:val="000000"/>
                <w:sz w:val="20"/>
                <w:szCs w:val="20"/>
                <w:lang w:eastAsia="it-IT"/>
              </w:rPr>
              <w:t>Umbria</w:t>
            </w:r>
          </w:p>
        </w:tc>
        <w:tc>
          <w:tcPr>
            <w:tcW w:w="164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42,3</w:t>
            </w:r>
          </w:p>
        </w:tc>
        <w:tc>
          <w:tcPr>
            <w:tcW w:w="128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56,0</w:t>
            </w:r>
          </w:p>
        </w:tc>
        <w:tc>
          <w:tcPr>
            <w:tcW w:w="128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11,8</w:t>
            </w:r>
          </w:p>
        </w:tc>
      </w:tr>
      <w:tr w:rsidR="00557BEC" w:rsidRPr="00557BEC" w:rsidTr="00AD0DFD">
        <w:trPr>
          <w:trHeight w:val="227"/>
          <w:jc w:val="center"/>
        </w:trPr>
        <w:tc>
          <w:tcPr>
            <w:tcW w:w="210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rPr>
                <w:rFonts w:eastAsia="Times New Roman" w:cstheme="minorHAnsi"/>
                <w:color w:val="000000"/>
                <w:sz w:val="20"/>
                <w:szCs w:val="20"/>
                <w:lang w:eastAsia="it-IT"/>
              </w:rPr>
            </w:pPr>
            <w:r w:rsidRPr="00557BEC">
              <w:rPr>
                <w:rFonts w:eastAsia="Times New Roman" w:cstheme="minorHAnsi"/>
                <w:color w:val="000000"/>
                <w:sz w:val="20"/>
                <w:szCs w:val="20"/>
                <w:lang w:eastAsia="it-IT"/>
              </w:rPr>
              <w:t>Marche</w:t>
            </w:r>
          </w:p>
        </w:tc>
        <w:tc>
          <w:tcPr>
            <w:tcW w:w="164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37,4</w:t>
            </w:r>
          </w:p>
        </w:tc>
        <w:tc>
          <w:tcPr>
            <w:tcW w:w="128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50,8</w:t>
            </w:r>
          </w:p>
        </w:tc>
        <w:tc>
          <w:tcPr>
            <w:tcW w:w="128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11,2</w:t>
            </w:r>
          </w:p>
        </w:tc>
      </w:tr>
      <w:tr w:rsidR="00557BEC" w:rsidRPr="00557BEC" w:rsidTr="00AD0DFD">
        <w:trPr>
          <w:trHeight w:val="227"/>
          <w:jc w:val="center"/>
        </w:trPr>
        <w:tc>
          <w:tcPr>
            <w:tcW w:w="210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rPr>
                <w:rFonts w:eastAsia="Times New Roman" w:cstheme="minorHAnsi"/>
                <w:color w:val="000000"/>
                <w:sz w:val="20"/>
                <w:szCs w:val="20"/>
                <w:lang w:eastAsia="it-IT"/>
              </w:rPr>
            </w:pPr>
            <w:r w:rsidRPr="00557BEC">
              <w:rPr>
                <w:rFonts w:eastAsia="Times New Roman" w:cstheme="minorHAnsi"/>
                <w:color w:val="000000"/>
                <w:sz w:val="20"/>
                <w:szCs w:val="20"/>
                <w:lang w:eastAsia="it-IT"/>
              </w:rPr>
              <w:t>Basilicata</w:t>
            </w:r>
          </w:p>
        </w:tc>
        <w:tc>
          <w:tcPr>
            <w:tcW w:w="164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33,1</w:t>
            </w:r>
          </w:p>
        </w:tc>
        <w:tc>
          <w:tcPr>
            <w:tcW w:w="128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52,7</w:t>
            </w:r>
          </w:p>
        </w:tc>
        <w:tc>
          <w:tcPr>
            <w:tcW w:w="128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11,0</w:t>
            </w:r>
          </w:p>
        </w:tc>
      </w:tr>
      <w:tr w:rsidR="00557BEC" w:rsidRPr="00557BEC" w:rsidTr="00AD0DFD">
        <w:trPr>
          <w:trHeight w:val="227"/>
          <w:jc w:val="center"/>
        </w:trPr>
        <w:tc>
          <w:tcPr>
            <w:tcW w:w="210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rPr>
                <w:rFonts w:eastAsia="Times New Roman" w:cstheme="minorHAnsi"/>
                <w:color w:val="000000"/>
                <w:sz w:val="20"/>
                <w:szCs w:val="20"/>
                <w:lang w:eastAsia="it-IT"/>
              </w:rPr>
            </w:pPr>
            <w:r w:rsidRPr="00557BEC">
              <w:rPr>
                <w:rFonts w:eastAsia="Times New Roman" w:cstheme="minorHAnsi"/>
                <w:color w:val="000000"/>
                <w:sz w:val="20"/>
                <w:szCs w:val="20"/>
                <w:lang w:eastAsia="it-IT"/>
              </w:rPr>
              <w:t>Abruzzo</w:t>
            </w:r>
          </w:p>
        </w:tc>
        <w:tc>
          <w:tcPr>
            <w:tcW w:w="164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32,1</w:t>
            </w:r>
          </w:p>
        </w:tc>
        <w:tc>
          <w:tcPr>
            <w:tcW w:w="128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55,2</w:t>
            </w:r>
          </w:p>
        </w:tc>
        <w:tc>
          <w:tcPr>
            <w:tcW w:w="128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10,3</w:t>
            </w:r>
          </w:p>
        </w:tc>
      </w:tr>
      <w:tr w:rsidR="00557BEC" w:rsidRPr="00557BEC" w:rsidTr="00AD0DFD">
        <w:trPr>
          <w:trHeight w:val="227"/>
          <w:jc w:val="center"/>
        </w:trPr>
        <w:tc>
          <w:tcPr>
            <w:tcW w:w="210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rPr>
                <w:rFonts w:eastAsia="Times New Roman" w:cstheme="minorHAnsi"/>
                <w:color w:val="000000"/>
                <w:sz w:val="20"/>
                <w:szCs w:val="20"/>
                <w:lang w:eastAsia="it-IT"/>
              </w:rPr>
            </w:pPr>
            <w:r w:rsidRPr="00557BEC">
              <w:rPr>
                <w:rFonts w:eastAsia="Times New Roman" w:cstheme="minorHAnsi"/>
                <w:color w:val="000000"/>
                <w:sz w:val="20"/>
                <w:szCs w:val="20"/>
                <w:lang w:eastAsia="it-IT"/>
              </w:rPr>
              <w:t>Molise</w:t>
            </w:r>
          </w:p>
        </w:tc>
        <w:tc>
          <w:tcPr>
            <w:tcW w:w="164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28,8</w:t>
            </w:r>
          </w:p>
        </w:tc>
        <w:tc>
          <w:tcPr>
            <w:tcW w:w="128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47,3</w:t>
            </w:r>
          </w:p>
        </w:tc>
        <w:tc>
          <w:tcPr>
            <w:tcW w:w="128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14,2</w:t>
            </w:r>
          </w:p>
        </w:tc>
      </w:tr>
      <w:tr w:rsidR="00557BEC" w:rsidRPr="00557BEC" w:rsidTr="00AD0DFD">
        <w:trPr>
          <w:trHeight w:val="227"/>
          <w:jc w:val="center"/>
        </w:trPr>
        <w:tc>
          <w:tcPr>
            <w:tcW w:w="210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rPr>
                <w:rFonts w:eastAsia="Times New Roman" w:cstheme="minorHAnsi"/>
                <w:color w:val="000000"/>
                <w:sz w:val="20"/>
                <w:szCs w:val="20"/>
                <w:lang w:eastAsia="it-IT"/>
              </w:rPr>
            </w:pPr>
            <w:r w:rsidRPr="00557BEC">
              <w:rPr>
                <w:rFonts w:eastAsia="Times New Roman" w:cstheme="minorHAnsi"/>
                <w:color w:val="000000"/>
                <w:sz w:val="20"/>
                <w:szCs w:val="20"/>
                <w:lang w:eastAsia="it-IT"/>
              </w:rPr>
              <w:t>Puglia</w:t>
            </w:r>
          </w:p>
        </w:tc>
        <w:tc>
          <w:tcPr>
            <w:tcW w:w="164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26,5</w:t>
            </w:r>
          </w:p>
        </w:tc>
        <w:tc>
          <w:tcPr>
            <w:tcW w:w="128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57,5</w:t>
            </w:r>
          </w:p>
        </w:tc>
        <w:tc>
          <w:tcPr>
            <w:tcW w:w="128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7,0</w:t>
            </w:r>
          </w:p>
        </w:tc>
      </w:tr>
      <w:tr w:rsidR="00557BEC" w:rsidRPr="00557BEC" w:rsidTr="00AD0DFD">
        <w:trPr>
          <w:trHeight w:val="227"/>
          <w:jc w:val="center"/>
        </w:trPr>
        <w:tc>
          <w:tcPr>
            <w:tcW w:w="210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rPr>
                <w:rFonts w:eastAsia="Times New Roman" w:cstheme="minorHAnsi"/>
                <w:color w:val="000000"/>
                <w:sz w:val="20"/>
                <w:szCs w:val="20"/>
                <w:lang w:eastAsia="it-IT"/>
              </w:rPr>
            </w:pPr>
            <w:r w:rsidRPr="00557BEC">
              <w:rPr>
                <w:rFonts w:eastAsia="Times New Roman" w:cstheme="minorHAnsi"/>
                <w:color w:val="000000"/>
                <w:sz w:val="20"/>
                <w:szCs w:val="20"/>
                <w:lang w:eastAsia="it-IT"/>
              </w:rPr>
              <w:t>Calabria</w:t>
            </w:r>
          </w:p>
        </w:tc>
        <w:tc>
          <w:tcPr>
            <w:tcW w:w="164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26,1</w:t>
            </w:r>
          </w:p>
        </w:tc>
        <w:tc>
          <w:tcPr>
            <w:tcW w:w="128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60,1</w:t>
            </w:r>
          </w:p>
        </w:tc>
        <w:tc>
          <w:tcPr>
            <w:tcW w:w="128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6,8</w:t>
            </w:r>
          </w:p>
        </w:tc>
      </w:tr>
      <w:tr w:rsidR="00557BEC" w:rsidRPr="00093460" w:rsidTr="00AD0DFD">
        <w:trPr>
          <w:trHeight w:val="227"/>
          <w:jc w:val="center"/>
        </w:trPr>
        <w:tc>
          <w:tcPr>
            <w:tcW w:w="2100" w:type="dxa"/>
            <w:tcBorders>
              <w:top w:val="nil"/>
              <w:left w:val="nil"/>
              <w:bottom w:val="nil"/>
              <w:right w:val="nil"/>
            </w:tcBorders>
            <w:shd w:val="clear" w:color="auto" w:fill="auto"/>
            <w:noWrap/>
            <w:vAlign w:val="center"/>
            <w:hideMark/>
          </w:tcPr>
          <w:p w:rsidR="00557BEC" w:rsidRPr="00093460" w:rsidRDefault="00557BEC" w:rsidP="00557BEC">
            <w:pPr>
              <w:spacing w:after="0" w:line="240" w:lineRule="auto"/>
              <w:rPr>
                <w:rFonts w:eastAsia="Times New Roman" w:cstheme="minorHAnsi"/>
                <w:b/>
                <w:color w:val="C00000"/>
                <w:sz w:val="20"/>
                <w:szCs w:val="20"/>
                <w:lang w:eastAsia="it-IT"/>
              </w:rPr>
            </w:pPr>
            <w:r w:rsidRPr="00093460">
              <w:rPr>
                <w:rFonts w:eastAsia="Times New Roman" w:cstheme="minorHAnsi"/>
                <w:b/>
                <w:color w:val="C00000"/>
                <w:sz w:val="20"/>
                <w:szCs w:val="20"/>
                <w:lang w:eastAsia="it-IT"/>
              </w:rPr>
              <w:t>Campania</w:t>
            </w:r>
          </w:p>
        </w:tc>
        <w:tc>
          <w:tcPr>
            <w:tcW w:w="1640" w:type="dxa"/>
            <w:tcBorders>
              <w:top w:val="nil"/>
              <w:left w:val="nil"/>
              <w:bottom w:val="nil"/>
              <w:right w:val="nil"/>
            </w:tcBorders>
            <w:shd w:val="clear" w:color="auto" w:fill="auto"/>
            <w:noWrap/>
            <w:vAlign w:val="center"/>
            <w:hideMark/>
          </w:tcPr>
          <w:p w:rsidR="00557BEC" w:rsidRPr="00093460" w:rsidRDefault="00557BEC" w:rsidP="00557BEC">
            <w:pPr>
              <w:spacing w:after="0" w:line="240" w:lineRule="auto"/>
              <w:jc w:val="center"/>
              <w:rPr>
                <w:rFonts w:eastAsia="Times New Roman" w:cstheme="minorHAnsi"/>
                <w:b/>
                <w:color w:val="C00000"/>
                <w:sz w:val="20"/>
                <w:szCs w:val="20"/>
                <w:lang w:eastAsia="it-IT"/>
              </w:rPr>
            </w:pPr>
            <w:r w:rsidRPr="00093460">
              <w:rPr>
                <w:rFonts w:eastAsia="Times New Roman" w:cstheme="minorHAnsi"/>
                <w:b/>
                <w:color w:val="C00000"/>
                <w:sz w:val="20"/>
                <w:szCs w:val="20"/>
                <w:lang w:eastAsia="it-IT"/>
              </w:rPr>
              <w:t>25,1</w:t>
            </w:r>
          </w:p>
        </w:tc>
        <w:tc>
          <w:tcPr>
            <w:tcW w:w="1280" w:type="dxa"/>
            <w:tcBorders>
              <w:top w:val="nil"/>
              <w:left w:val="nil"/>
              <w:bottom w:val="nil"/>
              <w:right w:val="nil"/>
            </w:tcBorders>
            <w:shd w:val="clear" w:color="auto" w:fill="auto"/>
            <w:noWrap/>
            <w:vAlign w:val="center"/>
            <w:hideMark/>
          </w:tcPr>
          <w:p w:rsidR="00557BEC" w:rsidRPr="00093460" w:rsidRDefault="00557BEC" w:rsidP="00557BEC">
            <w:pPr>
              <w:spacing w:after="0" w:line="240" w:lineRule="auto"/>
              <w:jc w:val="center"/>
              <w:rPr>
                <w:rFonts w:eastAsia="Times New Roman" w:cstheme="minorHAnsi"/>
                <w:b/>
                <w:color w:val="C00000"/>
                <w:sz w:val="20"/>
                <w:szCs w:val="20"/>
                <w:lang w:eastAsia="it-IT"/>
              </w:rPr>
            </w:pPr>
            <w:r w:rsidRPr="00093460">
              <w:rPr>
                <w:rFonts w:eastAsia="Times New Roman" w:cstheme="minorHAnsi"/>
                <w:b/>
                <w:color w:val="C00000"/>
                <w:sz w:val="20"/>
                <w:szCs w:val="20"/>
                <w:lang w:eastAsia="it-IT"/>
              </w:rPr>
              <w:t>61,6</w:t>
            </w:r>
          </w:p>
        </w:tc>
        <w:tc>
          <w:tcPr>
            <w:tcW w:w="1280" w:type="dxa"/>
            <w:tcBorders>
              <w:top w:val="nil"/>
              <w:left w:val="nil"/>
              <w:bottom w:val="nil"/>
              <w:right w:val="nil"/>
            </w:tcBorders>
            <w:shd w:val="clear" w:color="auto" w:fill="auto"/>
            <w:noWrap/>
            <w:vAlign w:val="center"/>
            <w:hideMark/>
          </w:tcPr>
          <w:p w:rsidR="00557BEC" w:rsidRPr="00093460" w:rsidRDefault="00557BEC" w:rsidP="00557BEC">
            <w:pPr>
              <w:spacing w:after="0" w:line="240" w:lineRule="auto"/>
              <w:jc w:val="center"/>
              <w:rPr>
                <w:rFonts w:eastAsia="Times New Roman" w:cstheme="minorHAnsi"/>
                <w:b/>
                <w:color w:val="C00000"/>
                <w:sz w:val="20"/>
                <w:szCs w:val="20"/>
                <w:lang w:eastAsia="it-IT"/>
              </w:rPr>
            </w:pPr>
            <w:r w:rsidRPr="00093460">
              <w:rPr>
                <w:rFonts w:eastAsia="Times New Roman" w:cstheme="minorHAnsi"/>
                <w:b/>
                <w:color w:val="C00000"/>
                <w:sz w:val="20"/>
                <w:szCs w:val="20"/>
                <w:lang w:eastAsia="it-IT"/>
              </w:rPr>
              <w:t>7,0</w:t>
            </w:r>
          </w:p>
        </w:tc>
      </w:tr>
      <w:tr w:rsidR="00557BEC" w:rsidRPr="00557BEC" w:rsidTr="00AD0DFD">
        <w:trPr>
          <w:trHeight w:val="227"/>
          <w:jc w:val="center"/>
        </w:trPr>
        <w:tc>
          <w:tcPr>
            <w:tcW w:w="210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rPr>
                <w:rFonts w:eastAsia="Times New Roman" w:cstheme="minorHAnsi"/>
                <w:color w:val="000000"/>
                <w:sz w:val="20"/>
                <w:szCs w:val="20"/>
                <w:lang w:eastAsia="it-IT"/>
              </w:rPr>
            </w:pPr>
            <w:r w:rsidRPr="00557BEC">
              <w:rPr>
                <w:rFonts w:eastAsia="Times New Roman" w:cstheme="minorHAnsi"/>
                <w:color w:val="000000"/>
                <w:sz w:val="20"/>
                <w:szCs w:val="20"/>
                <w:lang w:eastAsia="it-IT"/>
              </w:rPr>
              <w:t>Sicilia</w:t>
            </w:r>
          </w:p>
        </w:tc>
        <w:tc>
          <w:tcPr>
            <w:tcW w:w="164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24,9</w:t>
            </w:r>
          </w:p>
        </w:tc>
        <w:tc>
          <w:tcPr>
            <w:tcW w:w="128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52,9</w:t>
            </w:r>
          </w:p>
        </w:tc>
        <w:tc>
          <w:tcPr>
            <w:tcW w:w="1280" w:type="dxa"/>
            <w:tcBorders>
              <w:top w:val="nil"/>
              <w:left w:val="nil"/>
              <w:bottom w:val="nil"/>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color w:val="000000"/>
                <w:sz w:val="20"/>
                <w:szCs w:val="20"/>
                <w:lang w:eastAsia="it-IT"/>
              </w:rPr>
            </w:pPr>
            <w:r w:rsidRPr="00557BEC">
              <w:rPr>
                <w:rFonts w:eastAsia="Times New Roman" w:cstheme="minorHAnsi"/>
                <w:color w:val="000000"/>
                <w:sz w:val="20"/>
                <w:szCs w:val="20"/>
                <w:lang w:eastAsia="it-IT"/>
              </w:rPr>
              <w:t>8,1</w:t>
            </w:r>
          </w:p>
        </w:tc>
      </w:tr>
      <w:tr w:rsidR="00557BEC" w:rsidRPr="00557BEC" w:rsidTr="00AD0DFD">
        <w:trPr>
          <w:trHeight w:val="227"/>
          <w:jc w:val="center"/>
        </w:trPr>
        <w:tc>
          <w:tcPr>
            <w:tcW w:w="2100" w:type="dxa"/>
            <w:tcBorders>
              <w:top w:val="single" w:sz="4" w:space="0" w:color="auto"/>
              <w:left w:val="nil"/>
              <w:bottom w:val="single" w:sz="8" w:space="0" w:color="auto"/>
              <w:right w:val="nil"/>
            </w:tcBorders>
            <w:shd w:val="clear" w:color="auto" w:fill="auto"/>
            <w:noWrap/>
            <w:vAlign w:val="bottom"/>
            <w:hideMark/>
          </w:tcPr>
          <w:p w:rsidR="00557BEC" w:rsidRPr="00557BEC" w:rsidRDefault="00557BEC" w:rsidP="00557BEC">
            <w:pPr>
              <w:spacing w:after="0" w:line="240" w:lineRule="auto"/>
              <w:rPr>
                <w:rFonts w:eastAsia="Times New Roman" w:cstheme="minorHAnsi"/>
                <w:b/>
                <w:bCs/>
                <w:color w:val="000000"/>
                <w:sz w:val="20"/>
                <w:szCs w:val="20"/>
                <w:lang w:eastAsia="it-IT"/>
              </w:rPr>
            </w:pPr>
            <w:r w:rsidRPr="00557BEC">
              <w:rPr>
                <w:rFonts w:eastAsia="Times New Roman" w:cstheme="minorHAnsi"/>
                <w:b/>
                <w:bCs/>
                <w:color w:val="000000"/>
                <w:sz w:val="20"/>
                <w:szCs w:val="20"/>
                <w:lang w:eastAsia="it-IT"/>
              </w:rPr>
              <w:t>Italia</w:t>
            </w:r>
          </w:p>
        </w:tc>
        <w:tc>
          <w:tcPr>
            <w:tcW w:w="1640" w:type="dxa"/>
            <w:tcBorders>
              <w:top w:val="single" w:sz="4" w:space="0" w:color="auto"/>
              <w:left w:val="nil"/>
              <w:bottom w:val="single" w:sz="8" w:space="0" w:color="auto"/>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b/>
                <w:bCs/>
                <w:color w:val="000000"/>
                <w:sz w:val="20"/>
                <w:szCs w:val="20"/>
                <w:lang w:eastAsia="it-IT"/>
              </w:rPr>
            </w:pPr>
            <w:r w:rsidRPr="00557BEC">
              <w:rPr>
                <w:rFonts w:eastAsia="Times New Roman" w:cstheme="minorHAnsi"/>
                <w:b/>
                <w:bCs/>
                <w:color w:val="000000"/>
                <w:sz w:val="20"/>
                <w:szCs w:val="20"/>
                <w:lang w:eastAsia="it-IT"/>
              </w:rPr>
              <w:t>40,6</w:t>
            </w:r>
          </w:p>
        </w:tc>
        <w:tc>
          <w:tcPr>
            <w:tcW w:w="1280" w:type="dxa"/>
            <w:tcBorders>
              <w:top w:val="single" w:sz="4" w:space="0" w:color="auto"/>
              <w:left w:val="nil"/>
              <w:bottom w:val="single" w:sz="8" w:space="0" w:color="auto"/>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b/>
                <w:bCs/>
                <w:color w:val="000000"/>
                <w:sz w:val="20"/>
                <w:szCs w:val="20"/>
                <w:lang w:eastAsia="it-IT"/>
              </w:rPr>
            </w:pPr>
            <w:r w:rsidRPr="00557BEC">
              <w:rPr>
                <w:rFonts w:eastAsia="Times New Roman" w:cstheme="minorHAnsi"/>
                <w:b/>
                <w:bCs/>
                <w:color w:val="000000"/>
                <w:sz w:val="20"/>
                <w:szCs w:val="20"/>
                <w:lang w:eastAsia="it-IT"/>
              </w:rPr>
              <w:t>46,5</w:t>
            </w:r>
          </w:p>
        </w:tc>
        <w:tc>
          <w:tcPr>
            <w:tcW w:w="1280" w:type="dxa"/>
            <w:tcBorders>
              <w:top w:val="single" w:sz="4" w:space="0" w:color="auto"/>
              <w:left w:val="nil"/>
              <w:bottom w:val="single" w:sz="8" w:space="0" w:color="auto"/>
              <w:right w:val="nil"/>
            </w:tcBorders>
            <w:shd w:val="clear" w:color="auto" w:fill="auto"/>
            <w:noWrap/>
            <w:vAlign w:val="center"/>
            <w:hideMark/>
          </w:tcPr>
          <w:p w:rsidR="00557BEC" w:rsidRPr="00557BEC" w:rsidRDefault="00557BEC" w:rsidP="00557BEC">
            <w:pPr>
              <w:spacing w:after="0" w:line="240" w:lineRule="auto"/>
              <w:jc w:val="center"/>
              <w:rPr>
                <w:rFonts w:eastAsia="Times New Roman" w:cstheme="minorHAnsi"/>
                <w:b/>
                <w:bCs/>
                <w:color w:val="000000"/>
                <w:sz w:val="20"/>
                <w:szCs w:val="20"/>
                <w:lang w:eastAsia="it-IT"/>
              </w:rPr>
            </w:pPr>
            <w:r w:rsidRPr="00557BEC">
              <w:rPr>
                <w:rFonts w:eastAsia="Times New Roman" w:cstheme="minorHAnsi"/>
                <w:b/>
                <w:bCs/>
                <w:color w:val="000000"/>
                <w:sz w:val="20"/>
                <w:szCs w:val="20"/>
                <w:lang w:eastAsia="it-IT"/>
              </w:rPr>
              <w:t>14,3</w:t>
            </w:r>
          </w:p>
        </w:tc>
      </w:tr>
    </w:tbl>
    <w:p w:rsidR="00557BEC" w:rsidRPr="0015198A" w:rsidRDefault="0015198A" w:rsidP="0015198A">
      <w:pPr>
        <w:spacing w:after="0" w:line="276" w:lineRule="auto"/>
        <w:jc w:val="center"/>
        <w:rPr>
          <w:sz w:val="18"/>
        </w:rPr>
      </w:pPr>
      <w:r w:rsidRPr="0015198A">
        <w:rPr>
          <w:sz w:val="18"/>
        </w:rPr>
        <w:t>Fonte: Istat</w:t>
      </w:r>
    </w:p>
    <w:p w:rsidR="00607B0C" w:rsidRPr="008028E6" w:rsidRDefault="00607B0C" w:rsidP="00607B0C">
      <w:pPr>
        <w:pStyle w:val="Paragrafoelenco"/>
        <w:numPr>
          <w:ilvl w:val="0"/>
          <w:numId w:val="1"/>
        </w:numPr>
        <w:pBdr>
          <w:top w:val="single" w:sz="4" w:space="1" w:color="auto"/>
          <w:bottom w:val="single" w:sz="4" w:space="1" w:color="auto"/>
        </w:pBdr>
        <w:ind w:left="0" w:firstLine="0"/>
        <w:rPr>
          <w:i/>
          <w:sz w:val="24"/>
        </w:rPr>
      </w:pPr>
      <w:r w:rsidRPr="008028E6">
        <w:rPr>
          <w:i/>
          <w:sz w:val="24"/>
        </w:rPr>
        <w:lastRenderedPageBreak/>
        <w:t xml:space="preserve">IL TURISMO </w:t>
      </w:r>
    </w:p>
    <w:p w:rsidR="00CC1E26" w:rsidRDefault="00CC1E26" w:rsidP="00CC1E26">
      <w:pPr>
        <w:autoSpaceDE w:val="0"/>
        <w:autoSpaceDN w:val="0"/>
        <w:adjustRightInd w:val="0"/>
        <w:spacing w:after="0" w:line="276" w:lineRule="auto"/>
        <w:jc w:val="both"/>
        <w:rPr>
          <w:sz w:val="24"/>
          <w:szCs w:val="24"/>
        </w:rPr>
      </w:pPr>
      <w:r w:rsidRPr="00CC1E26">
        <w:rPr>
          <w:sz w:val="24"/>
          <w:szCs w:val="24"/>
        </w:rPr>
        <w:t xml:space="preserve">Nell'ambito del turismo internazionale viene confermato il trend di crescita degli arrivi che caratterizza il settore ormai dal 2010: il dato riporta un aumento 6,1% nel 2018 rispetto all'anno precedente. Nell'ambito del contesto internazionale, la più recente edizione, </w:t>
      </w:r>
      <w:r w:rsidRPr="00CC1E26">
        <w:rPr>
          <w:b/>
          <w:sz w:val="24"/>
          <w:szCs w:val="24"/>
        </w:rPr>
        <w:t>2019</w:t>
      </w:r>
      <w:r w:rsidRPr="00CC1E26">
        <w:rPr>
          <w:sz w:val="24"/>
          <w:szCs w:val="24"/>
        </w:rPr>
        <w:t xml:space="preserve">, del </w:t>
      </w:r>
      <w:proofErr w:type="spellStart"/>
      <w:r w:rsidR="00D51F2E">
        <w:rPr>
          <w:b/>
          <w:sz w:val="24"/>
          <w:szCs w:val="24"/>
        </w:rPr>
        <w:t>Travel&amp;</w:t>
      </w:r>
      <w:r w:rsidRPr="00CC1E26">
        <w:rPr>
          <w:b/>
          <w:sz w:val="24"/>
          <w:szCs w:val="24"/>
        </w:rPr>
        <w:t>Tourism</w:t>
      </w:r>
      <w:proofErr w:type="spellEnd"/>
      <w:r w:rsidRPr="00CC1E26">
        <w:rPr>
          <w:b/>
          <w:sz w:val="24"/>
          <w:szCs w:val="24"/>
        </w:rPr>
        <w:t xml:space="preserve"> </w:t>
      </w:r>
      <w:proofErr w:type="spellStart"/>
      <w:r w:rsidRPr="00CC1E26">
        <w:rPr>
          <w:b/>
          <w:sz w:val="24"/>
          <w:szCs w:val="24"/>
        </w:rPr>
        <w:t>Competitiveness</w:t>
      </w:r>
      <w:proofErr w:type="spellEnd"/>
      <w:r w:rsidRPr="00CC1E26">
        <w:rPr>
          <w:b/>
          <w:sz w:val="24"/>
          <w:szCs w:val="24"/>
        </w:rPr>
        <w:t xml:space="preserve"> Report</w:t>
      </w:r>
      <w:r w:rsidRPr="00CC1E26">
        <w:rPr>
          <w:sz w:val="24"/>
          <w:szCs w:val="24"/>
        </w:rPr>
        <w:t xml:space="preserve"> colloca l’</w:t>
      </w:r>
      <w:r w:rsidRPr="00CC1E26">
        <w:rPr>
          <w:b/>
          <w:sz w:val="24"/>
          <w:szCs w:val="24"/>
        </w:rPr>
        <w:t xml:space="preserve">Italia all’8° posto nella top </w:t>
      </w:r>
      <w:proofErr w:type="spellStart"/>
      <w:r w:rsidRPr="00CC1E26">
        <w:rPr>
          <w:b/>
          <w:sz w:val="24"/>
          <w:szCs w:val="24"/>
        </w:rPr>
        <w:t>ten</w:t>
      </w:r>
      <w:proofErr w:type="spellEnd"/>
      <w:r w:rsidRPr="00CC1E26">
        <w:rPr>
          <w:b/>
          <w:sz w:val="24"/>
          <w:szCs w:val="24"/>
        </w:rPr>
        <w:t xml:space="preserve"> dei paesi più competitivi al mondo nel settore del turismo</w:t>
      </w:r>
      <w:r w:rsidRPr="00CC1E26">
        <w:rPr>
          <w:sz w:val="24"/>
          <w:szCs w:val="24"/>
        </w:rPr>
        <w:t xml:space="preserve">. Posizione che il nostro Paese ha occupato già nel 2015 e nel 2017. E' invece al primo posto della classifica la Spagna, che rimane saldamente in questa posizione da ben tre anni, seguono la Francia, Germania, Giappone, USA, Regno Unito, Australia, Italia, Canada e Svizzera. Il report analizza i 4 aspetti fondamentali dell’offerta turistica: ambiente, condizioni politiche ed economiche, infrastrutture e risorse culturali e naturali. L’Italia sconta la poca possibilità imprenditoriale, che la penalizza nella classifica generale, mentre </w:t>
      </w:r>
      <w:r w:rsidRPr="00CC1E26">
        <w:rPr>
          <w:b/>
          <w:sz w:val="24"/>
          <w:szCs w:val="24"/>
        </w:rPr>
        <w:t>nell'indice "Risorse culturali e naturali", si colloca al 4° posto</w:t>
      </w:r>
      <w:r w:rsidRPr="00CC1E26">
        <w:rPr>
          <w:sz w:val="24"/>
          <w:szCs w:val="24"/>
        </w:rPr>
        <w:t xml:space="preserve">. </w:t>
      </w:r>
    </w:p>
    <w:p w:rsidR="00CC1E26" w:rsidRDefault="00CC1E26" w:rsidP="00CC1E26">
      <w:pPr>
        <w:autoSpaceDE w:val="0"/>
        <w:autoSpaceDN w:val="0"/>
        <w:adjustRightInd w:val="0"/>
        <w:spacing w:after="0" w:line="240" w:lineRule="auto"/>
        <w:jc w:val="both"/>
        <w:rPr>
          <w:sz w:val="24"/>
          <w:szCs w:val="24"/>
        </w:rPr>
      </w:pPr>
    </w:p>
    <w:p w:rsidR="00B449B7" w:rsidRDefault="00CC1E26" w:rsidP="00CC1E26">
      <w:pPr>
        <w:spacing w:after="0" w:line="276" w:lineRule="auto"/>
        <w:jc w:val="both"/>
        <w:rPr>
          <w:sz w:val="24"/>
          <w:szCs w:val="24"/>
        </w:rPr>
      </w:pPr>
      <w:r w:rsidRPr="00CC1E26">
        <w:rPr>
          <w:sz w:val="24"/>
          <w:szCs w:val="24"/>
        </w:rPr>
        <w:t xml:space="preserve">L'Italia nel confronto internazionale rivela, dunque, alcune difficoltà nell'affermarsi come competitor di prima linea. Guardando i dati nazionali, tuttavia, il quadro è abbastanza positivo: con </w:t>
      </w:r>
      <w:r w:rsidRPr="00CC1E26">
        <w:rPr>
          <w:b/>
          <w:sz w:val="24"/>
          <w:szCs w:val="24"/>
        </w:rPr>
        <w:t>oltre 63 milioni di arrivi nel 2018, il turismo da paesi esteri ha fatto registrare un +5,8% rispetto al 2017</w:t>
      </w:r>
      <w:r w:rsidRPr="00CC1E26">
        <w:rPr>
          <w:sz w:val="24"/>
          <w:szCs w:val="24"/>
        </w:rPr>
        <w:t xml:space="preserve">. </w:t>
      </w:r>
    </w:p>
    <w:p w:rsidR="00CC1E26" w:rsidRPr="00CC1E26" w:rsidRDefault="00CC1E26" w:rsidP="00CC1E26">
      <w:pPr>
        <w:spacing w:after="0" w:line="276" w:lineRule="auto"/>
        <w:jc w:val="both"/>
        <w:rPr>
          <w:b/>
          <w:sz w:val="24"/>
          <w:szCs w:val="24"/>
        </w:rPr>
      </w:pPr>
      <w:r w:rsidRPr="00CC1E26">
        <w:rPr>
          <w:b/>
          <w:sz w:val="24"/>
          <w:szCs w:val="24"/>
        </w:rPr>
        <w:t>Cresce più a rilento il turismo interno: gli arrivi domestici nel 2018 sono aumentati</w:t>
      </w:r>
      <w:r w:rsidRPr="00CC1E26">
        <w:rPr>
          <w:sz w:val="24"/>
          <w:szCs w:val="24"/>
        </w:rPr>
        <w:t>, infatti,</w:t>
      </w:r>
      <w:r w:rsidRPr="00CC1E26">
        <w:rPr>
          <w:b/>
          <w:sz w:val="24"/>
          <w:szCs w:val="24"/>
        </w:rPr>
        <w:t xml:space="preserve"> del 3,9% </w:t>
      </w:r>
      <w:r w:rsidRPr="00CC1E26">
        <w:rPr>
          <w:sz w:val="24"/>
          <w:szCs w:val="24"/>
        </w:rPr>
        <w:t>mentre le</w:t>
      </w:r>
      <w:r w:rsidRPr="00CC1E26">
        <w:rPr>
          <w:b/>
          <w:sz w:val="24"/>
          <w:szCs w:val="24"/>
        </w:rPr>
        <w:t xml:space="preserve"> presenze sono leggermente in flessione, -1,2%.</w:t>
      </w:r>
    </w:p>
    <w:p w:rsidR="00FB69C3" w:rsidRDefault="00CC1E26" w:rsidP="00CC1E26">
      <w:pPr>
        <w:spacing w:after="0" w:line="276" w:lineRule="auto"/>
        <w:jc w:val="both"/>
        <w:rPr>
          <w:sz w:val="24"/>
          <w:szCs w:val="24"/>
        </w:rPr>
      </w:pPr>
      <w:r w:rsidRPr="00CC1E26">
        <w:rPr>
          <w:sz w:val="24"/>
          <w:szCs w:val="24"/>
        </w:rPr>
        <w:t xml:space="preserve">Sono aumentati i turisti internazionali ed è aumentata anche la loro spesa: complessivamente gli </w:t>
      </w:r>
      <w:r w:rsidRPr="00CC1E26">
        <w:rPr>
          <w:b/>
          <w:sz w:val="24"/>
          <w:szCs w:val="24"/>
        </w:rPr>
        <w:t>stranieri in visita in Italia hanno speso più di 41 miliardi di euro</w:t>
      </w:r>
      <w:r w:rsidRPr="00CC1E26">
        <w:rPr>
          <w:sz w:val="24"/>
          <w:szCs w:val="24"/>
        </w:rPr>
        <w:t xml:space="preserve">, </w:t>
      </w:r>
      <w:r w:rsidRPr="00CC1E26">
        <w:rPr>
          <w:b/>
          <w:sz w:val="24"/>
          <w:szCs w:val="24"/>
        </w:rPr>
        <w:t>il 6,5% in più del 2017</w:t>
      </w:r>
      <w:r w:rsidRPr="00CC1E26">
        <w:rPr>
          <w:sz w:val="24"/>
          <w:szCs w:val="24"/>
        </w:rPr>
        <w:t xml:space="preserve">. Le regioni in </w:t>
      </w:r>
      <w:r>
        <w:rPr>
          <w:sz w:val="24"/>
          <w:szCs w:val="24"/>
        </w:rPr>
        <w:t>cui i turisti spendono maggiorme</w:t>
      </w:r>
      <w:r w:rsidRPr="00CC1E26">
        <w:rPr>
          <w:sz w:val="24"/>
          <w:szCs w:val="24"/>
        </w:rPr>
        <w:t xml:space="preserve">nte sono stabilmente il Lazio, la </w:t>
      </w:r>
      <w:r w:rsidRPr="00C9784B">
        <w:rPr>
          <w:sz w:val="24"/>
          <w:szCs w:val="24"/>
        </w:rPr>
        <w:t>Lombardia</w:t>
      </w:r>
      <w:r w:rsidR="00C9784B">
        <w:rPr>
          <w:sz w:val="24"/>
          <w:szCs w:val="24"/>
        </w:rPr>
        <w:t xml:space="preserve">, il Veneto, la Toscana, la </w:t>
      </w:r>
      <w:r w:rsidR="00C9784B" w:rsidRPr="00C9784B">
        <w:rPr>
          <w:b/>
          <w:sz w:val="24"/>
          <w:szCs w:val="24"/>
        </w:rPr>
        <w:t>Campania</w:t>
      </w:r>
      <w:r w:rsidRPr="00CC1E26">
        <w:rPr>
          <w:sz w:val="24"/>
          <w:szCs w:val="24"/>
        </w:rPr>
        <w:t xml:space="preserve"> mentre il Sud Italia registra gli incrementi di spesa più elevati in confronto al 2017.   </w:t>
      </w:r>
    </w:p>
    <w:p w:rsidR="00340487" w:rsidRDefault="00340487" w:rsidP="00357FD4">
      <w:pPr>
        <w:spacing w:before="240" w:after="0" w:line="276" w:lineRule="auto"/>
        <w:jc w:val="center"/>
        <w:rPr>
          <w:i/>
        </w:rPr>
      </w:pPr>
      <w:r w:rsidRPr="008028E6">
        <w:rPr>
          <w:b/>
        </w:rPr>
        <w:t>Spesa dei viaggiatori stranieri per Regione visitata</w:t>
      </w:r>
      <w:r w:rsidR="00991BCD" w:rsidRPr="008028E6">
        <w:rPr>
          <w:b/>
        </w:rPr>
        <w:t xml:space="preserve"> </w:t>
      </w:r>
      <w:r w:rsidR="007E5871">
        <w:rPr>
          <w:b/>
        </w:rPr>
        <w:t>–</w:t>
      </w:r>
      <w:r w:rsidR="00991BCD" w:rsidRPr="008028E6">
        <w:rPr>
          <w:b/>
        </w:rPr>
        <w:t xml:space="preserve"> </w:t>
      </w:r>
      <w:r w:rsidR="00991BCD" w:rsidRPr="008028E6">
        <w:t>201</w:t>
      </w:r>
      <w:r w:rsidR="00CC1E26">
        <w:t>8</w:t>
      </w:r>
      <w:r w:rsidR="007E5871">
        <w:t xml:space="preserve"> </w:t>
      </w:r>
      <w:r w:rsidR="007E5871" w:rsidRPr="007E5871">
        <w:rPr>
          <w:i/>
        </w:rPr>
        <w:t>(milioni di euro)</w:t>
      </w:r>
    </w:p>
    <w:p w:rsidR="00B92F6D" w:rsidRPr="008028E6" w:rsidRDefault="00B92F6D" w:rsidP="00B92F6D">
      <w:pPr>
        <w:spacing w:after="0" w:line="276" w:lineRule="auto"/>
        <w:jc w:val="center"/>
        <w:rPr>
          <w:b/>
        </w:rPr>
      </w:pPr>
      <w:r w:rsidRPr="00B92F6D">
        <w:rPr>
          <w:noProof/>
          <w:shd w:val="clear" w:color="auto" w:fill="445364"/>
          <w:lang w:eastAsia="it-IT"/>
        </w:rPr>
        <w:drawing>
          <wp:inline distT="0" distB="0" distL="0" distR="0" wp14:anchorId="157D25D0" wp14:editId="7D2056EE">
            <wp:extent cx="6134100" cy="2581275"/>
            <wp:effectExtent l="0" t="0" r="0" b="9525"/>
            <wp:docPr id="35" name="Gra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40487" w:rsidRPr="000A2402" w:rsidRDefault="00340487" w:rsidP="00340487">
      <w:pPr>
        <w:spacing w:after="0" w:line="276" w:lineRule="auto"/>
        <w:jc w:val="center"/>
        <w:rPr>
          <w:sz w:val="16"/>
        </w:rPr>
      </w:pPr>
      <w:r w:rsidRPr="000A2402">
        <w:rPr>
          <w:sz w:val="16"/>
        </w:rPr>
        <w:t>Fonte: elaborazioni Federculture su dati Banca d'Italia</w:t>
      </w:r>
    </w:p>
    <w:p w:rsidR="007E5871" w:rsidRPr="000A2402" w:rsidRDefault="007E5871" w:rsidP="00991BCD">
      <w:pPr>
        <w:spacing w:before="80" w:after="0" w:line="276" w:lineRule="auto"/>
        <w:jc w:val="both"/>
        <w:rPr>
          <w:sz w:val="24"/>
        </w:rPr>
      </w:pPr>
    </w:p>
    <w:p w:rsidR="00A203FA" w:rsidRPr="0083225A" w:rsidRDefault="00EE25F4" w:rsidP="00B82E77">
      <w:pPr>
        <w:spacing w:after="0"/>
        <w:jc w:val="both"/>
        <w:rPr>
          <w:sz w:val="24"/>
          <w:szCs w:val="24"/>
        </w:rPr>
      </w:pPr>
      <w:r w:rsidRPr="0083225A">
        <w:rPr>
          <w:sz w:val="24"/>
          <w:szCs w:val="24"/>
        </w:rPr>
        <w:t xml:space="preserve">Nel dettaglio </w:t>
      </w:r>
      <w:r w:rsidR="00B82E77" w:rsidRPr="0083225A">
        <w:rPr>
          <w:sz w:val="24"/>
          <w:szCs w:val="24"/>
        </w:rPr>
        <w:t>l’andamento del</w:t>
      </w:r>
      <w:r w:rsidRPr="0083225A">
        <w:rPr>
          <w:sz w:val="24"/>
          <w:szCs w:val="24"/>
        </w:rPr>
        <w:t xml:space="preserve"> turismo in </w:t>
      </w:r>
      <w:r w:rsidR="007265C0" w:rsidRPr="0083225A">
        <w:rPr>
          <w:b/>
          <w:sz w:val="24"/>
          <w:szCs w:val="24"/>
          <w:u w:val="single"/>
        </w:rPr>
        <w:t>Campania</w:t>
      </w:r>
      <w:r w:rsidRPr="0083225A">
        <w:rPr>
          <w:sz w:val="24"/>
          <w:szCs w:val="24"/>
        </w:rPr>
        <w:t xml:space="preserve"> </w:t>
      </w:r>
      <w:r w:rsidR="007265C0" w:rsidRPr="0083225A">
        <w:rPr>
          <w:sz w:val="24"/>
          <w:szCs w:val="24"/>
        </w:rPr>
        <w:t xml:space="preserve">mostra performance migliori di </w:t>
      </w:r>
      <w:r w:rsidRPr="0083225A">
        <w:rPr>
          <w:sz w:val="24"/>
          <w:szCs w:val="24"/>
        </w:rPr>
        <w:t xml:space="preserve">quanto avviene nel resto del Paese. </w:t>
      </w:r>
      <w:r w:rsidRPr="0083225A">
        <w:rPr>
          <w:b/>
          <w:sz w:val="24"/>
          <w:szCs w:val="24"/>
        </w:rPr>
        <w:t>Crescono gli arrivi,</w:t>
      </w:r>
      <w:r w:rsidR="007265C0" w:rsidRPr="0083225A">
        <w:rPr>
          <w:b/>
          <w:sz w:val="24"/>
          <w:szCs w:val="24"/>
        </w:rPr>
        <w:t xml:space="preserve"> 6,2 milioni totali, del 10</w:t>
      </w:r>
      <w:r w:rsidR="004B5803" w:rsidRPr="0083225A">
        <w:rPr>
          <w:b/>
          <w:sz w:val="24"/>
          <w:szCs w:val="24"/>
        </w:rPr>
        <w:t>%,</w:t>
      </w:r>
      <w:r w:rsidR="004B5803" w:rsidRPr="0083225A">
        <w:rPr>
          <w:sz w:val="24"/>
          <w:szCs w:val="24"/>
        </w:rPr>
        <w:t xml:space="preserve"> con un maggiore incremento tra i turisti </w:t>
      </w:r>
      <w:r w:rsidR="007265C0" w:rsidRPr="0083225A">
        <w:rPr>
          <w:sz w:val="24"/>
          <w:szCs w:val="24"/>
        </w:rPr>
        <w:t>stranieri (+13</w:t>
      </w:r>
      <w:r w:rsidR="004B5803" w:rsidRPr="0083225A">
        <w:rPr>
          <w:sz w:val="24"/>
          <w:szCs w:val="24"/>
        </w:rPr>
        <w:t xml:space="preserve">%), </w:t>
      </w:r>
      <w:r w:rsidR="007265C0" w:rsidRPr="0083225A">
        <w:rPr>
          <w:sz w:val="24"/>
          <w:szCs w:val="24"/>
        </w:rPr>
        <w:t xml:space="preserve">e </w:t>
      </w:r>
      <w:r w:rsidR="007265C0" w:rsidRPr="0083225A">
        <w:rPr>
          <w:b/>
          <w:sz w:val="24"/>
          <w:szCs w:val="24"/>
        </w:rPr>
        <w:t>le presenze, 21,6 milioni, aumentano del 6%</w:t>
      </w:r>
      <w:r w:rsidR="007265C0" w:rsidRPr="0083225A">
        <w:rPr>
          <w:sz w:val="24"/>
          <w:szCs w:val="24"/>
        </w:rPr>
        <w:t xml:space="preserve">, </w:t>
      </w:r>
      <w:r w:rsidR="0083225A" w:rsidRPr="0083225A">
        <w:rPr>
          <w:sz w:val="24"/>
          <w:szCs w:val="24"/>
        </w:rPr>
        <w:t>anche</w:t>
      </w:r>
      <w:r w:rsidR="007265C0" w:rsidRPr="0083225A">
        <w:rPr>
          <w:sz w:val="24"/>
          <w:szCs w:val="24"/>
        </w:rPr>
        <w:t xml:space="preserve"> in questo caso con una maggiore incidenza tra gli stranieri, +</w:t>
      </w:r>
      <w:r w:rsidR="0083225A" w:rsidRPr="0083225A">
        <w:rPr>
          <w:sz w:val="24"/>
          <w:szCs w:val="24"/>
        </w:rPr>
        <w:t>8%</w:t>
      </w:r>
      <w:r w:rsidR="004B5803" w:rsidRPr="0083225A">
        <w:rPr>
          <w:sz w:val="24"/>
          <w:szCs w:val="24"/>
        </w:rPr>
        <w:t>.</w:t>
      </w:r>
    </w:p>
    <w:p w:rsidR="004B5803" w:rsidRPr="000A2402" w:rsidRDefault="0083225A" w:rsidP="00B82E77">
      <w:pPr>
        <w:spacing w:after="0"/>
        <w:jc w:val="both"/>
        <w:rPr>
          <w:sz w:val="24"/>
          <w:szCs w:val="24"/>
        </w:rPr>
      </w:pPr>
      <w:r w:rsidRPr="0083225A">
        <w:rPr>
          <w:sz w:val="24"/>
          <w:szCs w:val="24"/>
        </w:rPr>
        <w:t xml:space="preserve">Anche nella città di </w:t>
      </w:r>
      <w:r w:rsidRPr="0083225A">
        <w:rPr>
          <w:b/>
          <w:sz w:val="24"/>
          <w:szCs w:val="24"/>
          <w:u w:val="single"/>
        </w:rPr>
        <w:t>Napoli</w:t>
      </w:r>
      <w:r w:rsidRPr="0083225A">
        <w:rPr>
          <w:sz w:val="24"/>
          <w:szCs w:val="24"/>
        </w:rPr>
        <w:t xml:space="preserve">, ormai affermata tra le mete principali del turismo culturale, </w:t>
      </w:r>
      <w:r w:rsidRPr="0083225A">
        <w:rPr>
          <w:b/>
          <w:sz w:val="24"/>
          <w:szCs w:val="24"/>
        </w:rPr>
        <w:t>crescono si agli arrivi,</w:t>
      </w:r>
      <w:r>
        <w:rPr>
          <w:b/>
          <w:sz w:val="24"/>
          <w:szCs w:val="24"/>
        </w:rPr>
        <w:t xml:space="preserve"> </w:t>
      </w:r>
      <w:r w:rsidRPr="0083225A">
        <w:rPr>
          <w:b/>
          <w:sz w:val="24"/>
          <w:szCs w:val="24"/>
        </w:rPr>
        <w:t>+7%, che le presenze, +12%</w:t>
      </w:r>
      <w:r w:rsidRPr="0083225A">
        <w:rPr>
          <w:sz w:val="24"/>
          <w:szCs w:val="24"/>
        </w:rPr>
        <w:t xml:space="preserve">, </w:t>
      </w:r>
      <w:r w:rsidR="004B5803" w:rsidRPr="0083225A">
        <w:rPr>
          <w:sz w:val="24"/>
          <w:szCs w:val="24"/>
        </w:rPr>
        <w:t xml:space="preserve">e </w:t>
      </w:r>
      <w:r w:rsidRPr="0083225A">
        <w:rPr>
          <w:sz w:val="24"/>
          <w:szCs w:val="24"/>
        </w:rPr>
        <w:t xml:space="preserve">anche qui </w:t>
      </w:r>
      <w:r w:rsidR="004B5803" w:rsidRPr="0083225A">
        <w:rPr>
          <w:sz w:val="24"/>
          <w:szCs w:val="24"/>
        </w:rPr>
        <w:t xml:space="preserve">sono soprattutto gli </w:t>
      </w:r>
      <w:r w:rsidRPr="0083225A">
        <w:rPr>
          <w:sz w:val="24"/>
          <w:szCs w:val="24"/>
        </w:rPr>
        <w:t xml:space="preserve">stranieri a </w:t>
      </w:r>
      <w:r w:rsidR="004B5803" w:rsidRPr="0083225A">
        <w:rPr>
          <w:sz w:val="24"/>
          <w:szCs w:val="24"/>
        </w:rPr>
        <w:t>sostenere l’incremento del settore, arrivi +</w:t>
      </w:r>
      <w:r w:rsidRPr="0083225A">
        <w:rPr>
          <w:sz w:val="24"/>
          <w:szCs w:val="24"/>
        </w:rPr>
        <w:t>11</w:t>
      </w:r>
      <w:r w:rsidR="004B5803" w:rsidRPr="0083225A">
        <w:rPr>
          <w:sz w:val="24"/>
          <w:szCs w:val="24"/>
        </w:rPr>
        <w:t>% e presenze +</w:t>
      </w:r>
      <w:r w:rsidRPr="0083225A">
        <w:rPr>
          <w:sz w:val="24"/>
          <w:szCs w:val="24"/>
        </w:rPr>
        <w:t>13</w:t>
      </w:r>
      <w:r w:rsidR="004B5803" w:rsidRPr="0083225A">
        <w:rPr>
          <w:sz w:val="24"/>
          <w:szCs w:val="24"/>
        </w:rPr>
        <w:t>%.</w:t>
      </w:r>
    </w:p>
    <w:p w:rsidR="00424083" w:rsidRPr="000A2402" w:rsidRDefault="00424083" w:rsidP="00B449B7">
      <w:pPr>
        <w:spacing w:after="0"/>
        <w:jc w:val="both"/>
        <w:rPr>
          <w:sz w:val="24"/>
          <w:szCs w:val="24"/>
        </w:rPr>
      </w:pPr>
    </w:p>
    <w:p w:rsidR="00B449B7" w:rsidRPr="000A2402" w:rsidRDefault="00B449B7" w:rsidP="00B449B7">
      <w:pPr>
        <w:spacing w:after="0"/>
        <w:jc w:val="center"/>
        <w:rPr>
          <w:sz w:val="24"/>
          <w:szCs w:val="24"/>
        </w:rPr>
      </w:pPr>
      <w:r w:rsidRPr="000A2402">
        <w:rPr>
          <w:b/>
          <w:bCs/>
          <w:sz w:val="24"/>
          <w:szCs w:val="24"/>
        </w:rPr>
        <w:t xml:space="preserve">Prime città italiane per numero di presenze turistiche, </w:t>
      </w:r>
      <w:r w:rsidRPr="000A2402">
        <w:rPr>
          <w:bCs/>
          <w:sz w:val="24"/>
          <w:szCs w:val="24"/>
        </w:rPr>
        <w:t>2018</w:t>
      </w:r>
    </w:p>
    <w:p w:rsidR="00B449B7" w:rsidRPr="00F924C5" w:rsidRDefault="00424083" w:rsidP="00B449B7">
      <w:pPr>
        <w:spacing w:after="0"/>
        <w:jc w:val="center"/>
        <w:rPr>
          <w:sz w:val="24"/>
          <w:szCs w:val="24"/>
          <w:highlight w:val="yellow"/>
        </w:rPr>
      </w:pPr>
      <w:r w:rsidRPr="00F924C5">
        <w:rPr>
          <w:noProof/>
          <w:sz w:val="24"/>
          <w:szCs w:val="24"/>
          <w:highlight w:val="yellow"/>
          <w:lang w:eastAsia="it-IT"/>
        </w:rPr>
        <w:drawing>
          <wp:inline distT="0" distB="0" distL="0" distR="0">
            <wp:extent cx="2743200" cy="2266950"/>
            <wp:effectExtent l="0" t="0" r="0" b="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2266950"/>
                    </a:xfrm>
                    <a:prstGeom prst="rect">
                      <a:avLst/>
                    </a:prstGeom>
                    <a:noFill/>
                    <a:ln>
                      <a:noFill/>
                    </a:ln>
                  </pic:spPr>
                </pic:pic>
              </a:graphicData>
            </a:graphic>
          </wp:inline>
        </w:drawing>
      </w:r>
    </w:p>
    <w:p w:rsidR="004B5803" w:rsidRPr="00F924C5" w:rsidRDefault="004B5803" w:rsidP="00A203FA">
      <w:pPr>
        <w:spacing w:after="0"/>
        <w:rPr>
          <w:b/>
          <w:sz w:val="24"/>
          <w:highlight w:val="yellow"/>
        </w:rPr>
      </w:pPr>
    </w:p>
    <w:p w:rsidR="00851F16" w:rsidRPr="00F43634" w:rsidRDefault="00851F16" w:rsidP="00A203FA">
      <w:pPr>
        <w:spacing w:after="0"/>
        <w:rPr>
          <w:b/>
          <w:sz w:val="24"/>
          <w:highlight w:val="yellow"/>
        </w:rPr>
      </w:pPr>
    </w:p>
    <w:p w:rsidR="005B2464" w:rsidRPr="008028E6" w:rsidRDefault="005B2464" w:rsidP="008D19C4">
      <w:pPr>
        <w:pStyle w:val="Paragrafoelenco"/>
        <w:numPr>
          <w:ilvl w:val="0"/>
          <w:numId w:val="1"/>
        </w:numPr>
        <w:pBdr>
          <w:top w:val="single" w:sz="4" w:space="1" w:color="auto"/>
          <w:bottom w:val="single" w:sz="4" w:space="1" w:color="auto"/>
        </w:pBdr>
        <w:ind w:left="360"/>
        <w:rPr>
          <w:i/>
          <w:sz w:val="24"/>
        </w:rPr>
      </w:pPr>
      <w:r w:rsidRPr="008028E6">
        <w:rPr>
          <w:i/>
          <w:sz w:val="24"/>
        </w:rPr>
        <w:t>CULTURA, GLI INVESTIMENTI PUBBLICI E PRIVATI</w:t>
      </w:r>
    </w:p>
    <w:p w:rsidR="00B434B1" w:rsidRPr="00B434B1" w:rsidRDefault="00B434B1" w:rsidP="00B434B1">
      <w:pPr>
        <w:spacing w:after="0" w:line="276" w:lineRule="auto"/>
        <w:jc w:val="both"/>
        <w:rPr>
          <w:sz w:val="24"/>
        </w:rPr>
      </w:pPr>
      <w:r w:rsidRPr="00B434B1">
        <w:rPr>
          <w:sz w:val="24"/>
        </w:rPr>
        <w:t>Il quadro delle risorse di provenienza pubblica e privata destinati ai settori dei beni e delle attività culturali e dello spettacolo si presenta abbastanza stabile rispetto a tendenze ormai evidenziate negli ultimi anni.</w:t>
      </w:r>
    </w:p>
    <w:p w:rsidR="002A57AC" w:rsidRDefault="00B434B1" w:rsidP="00B434B1">
      <w:pPr>
        <w:spacing w:after="120" w:line="276" w:lineRule="auto"/>
        <w:jc w:val="both"/>
        <w:rPr>
          <w:sz w:val="24"/>
        </w:rPr>
      </w:pPr>
      <w:r w:rsidRPr="00B434B1">
        <w:rPr>
          <w:sz w:val="24"/>
        </w:rPr>
        <w:t xml:space="preserve">Il bilancio del </w:t>
      </w:r>
      <w:proofErr w:type="spellStart"/>
      <w:r w:rsidRPr="00B434B1">
        <w:rPr>
          <w:sz w:val="24"/>
        </w:rPr>
        <w:t>MiBAC</w:t>
      </w:r>
      <w:r>
        <w:rPr>
          <w:sz w:val="24"/>
        </w:rPr>
        <w:t>T</w:t>
      </w:r>
      <w:proofErr w:type="spellEnd"/>
      <w:r>
        <w:rPr>
          <w:sz w:val="24"/>
        </w:rPr>
        <w:t xml:space="preserve">, </w:t>
      </w:r>
      <w:r w:rsidRPr="00B434B1">
        <w:rPr>
          <w:sz w:val="24"/>
        </w:rPr>
        <w:t>seppure con piccoli scostamenti</w:t>
      </w:r>
      <w:r>
        <w:rPr>
          <w:sz w:val="24"/>
        </w:rPr>
        <w:t xml:space="preserve">, negli </w:t>
      </w:r>
      <w:r w:rsidRPr="00B434B1">
        <w:rPr>
          <w:sz w:val="24"/>
        </w:rPr>
        <w:t>ultimi tre anni si è assestato sopra i 2 miliardi di euro. Nel 2018, in particolare, il bilancio, con una cifra pari a 2,6 mili</w:t>
      </w:r>
      <w:r>
        <w:rPr>
          <w:sz w:val="24"/>
        </w:rPr>
        <w:t>ardi di euro, ha raggiunto il li</w:t>
      </w:r>
      <w:r w:rsidRPr="00B434B1">
        <w:rPr>
          <w:sz w:val="24"/>
        </w:rPr>
        <w:t xml:space="preserve">vello più alto dai primi anni 2000 ad oggi e si prevede un ulteriore incremento fino a 2,7 milioni per il 2019. Risulta stabilmente sopra i 300 milioni di euro il Fondo Unico per lo Spettacolo, che nel 2019 incrementa il proprio stanziamento del 3,6%. Il </w:t>
      </w:r>
      <w:r>
        <w:rPr>
          <w:sz w:val="24"/>
        </w:rPr>
        <w:t>F</w:t>
      </w:r>
      <w:r w:rsidRPr="00B434B1">
        <w:rPr>
          <w:sz w:val="24"/>
        </w:rPr>
        <w:t>ondo per il cinema e l'audiovisivo, istituito con la legg</w:t>
      </w:r>
      <w:r>
        <w:rPr>
          <w:sz w:val="24"/>
        </w:rPr>
        <w:t xml:space="preserve">e n. 220 del 14 novembre 2016, ha </w:t>
      </w:r>
      <w:r w:rsidRPr="00B434B1">
        <w:rPr>
          <w:sz w:val="24"/>
        </w:rPr>
        <w:t xml:space="preserve">complessivamente ripartito verso </w:t>
      </w:r>
      <w:r>
        <w:rPr>
          <w:sz w:val="24"/>
        </w:rPr>
        <w:t>il settore 404 milioni di euro.</w:t>
      </w:r>
    </w:p>
    <w:p w:rsidR="007A0388" w:rsidRDefault="007A0388" w:rsidP="007A0388">
      <w:pPr>
        <w:spacing w:after="120" w:line="276" w:lineRule="auto"/>
        <w:jc w:val="both"/>
        <w:rPr>
          <w:b/>
          <w:sz w:val="24"/>
        </w:rPr>
      </w:pPr>
      <w:r w:rsidRPr="007A0388">
        <w:rPr>
          <w:sz w:val="24"/>
        </w:rPr>
        <w:t xml:space="preserve">Molto diverso è il quadro delle risorse destinate ai beni e attività culturali dalle amministrazioni locali. </w:t>
      </w:r>
      <w:r w:rsidRPr="007A0388">
        <w:rPr>
          <w:b/>
          <w:sz w:val="24"/>
        </w:rPr>
        <w:t>La spesa dei Comuni in diminuzione da anni, dopo una lieve risalita nel 2015, è nuovamente scesa sotto i 2 miliardi di euro</w:t>
      </w:r>
      <w:r w:rsidRPr="007A0388">
        <w:rPr>
          <w:sz w:val="24"/>
        </w:rPr>
        <w:t xml:space="preserve"> complessivi e nel 2017 (ultimo anno rilevato da Istat), si ferma complessivamente a </w:t>
      </w:r>
      <w:r w:rsidRPr="007A0388">
        <w:rPr>
          <w:b/>
          <w:sz w:val="24"/>
        </w:rPr>
        <w:t>circa 1,9 miliardi di euro con una flessione dell'1,8 % rispetto al 2016</w:t>
      </w:r>
      <w:r>
        <w:rPr>
          <w:b/>
          <w:sz w:val="24"/>
        </w:rPr>
        <w:t>.</w:t>
      </w:r>
    </w:p>
    <w:p w:rsidR="00357FD4" w:rsidRPr="000A2402" w:rsidRDefault="007A0388" w:rsidP="007A0388">
      <w:pPr>
        <w:spacing w:after="120" w:line="276" w:lineRule="auto"/>
        <w:jc w:val="both"/>
        <w:rPr>
          <w:sz w:val="24"/>
        </w:rPr>
      </w:pPr>
      <w:r w:rsidRPr="007A0388">
        <w:rPr>
          <w:sz w:val="24"/>
        </w:rPr>
        <w:t xml:space="preserve">Ancora più evidente l'andamento negativo delle risorse provenienti dalle </w:t>
      </w:r>
      <w:r>
        <w:rPr>
          <w:b/>
          <w:sz w:val="24"/>
        </w:rPr>
        <w:t xml:space="preserve">amministrazioni </w:t>
      </w:r>
      <w:r w:rsidRPr="007A0388">
        <w:rPr>
          <w:b/>
          <w:sz w:val="24"/>
        </w:rPr>
        <w:t>provinciali</w:t>
      </w:r>
      <w:r w:rsidRPr="007A0388">
        <w:rPr>
          <w:sz w:val="24"/>
        </w:rPr>
        <w:t>: solo nell'ultimo a</w:t>
      </w:r>
      <w:r>
        <w:rPr>
          <w:sz w:val="24"/>
        </w:rPr>
        <w:t xml:space="preserve">nno di riferimento, 2017/2016, </w:t>
      </w:r>
      <w:r w:rsidRPr="007A0388">
        <w:rPr>
          <w:sz w:val="24"/>
        </w:rPr>
        <w:t xml:space="preserve">si registra un </w:t>
      </w:r>
      <w:r w:rsidR="00B94504">
        <w:rPr>
          <w:b/>
          <w:sz w:val="24"/>
        </w:rPr>
        <w:t xml:space="preserve">-19,7%. </w:t>
      </w:r>
      <w:r w:rsidRPr="007A0388">
        <w:rPr>
          <w:sz w:val="24"/>
        </w:rPr>
        <w:t xml:space="preserve">Ma il trend pluriennale </w:t>
      </w:r>
      <w:r w:rsidR="00B94504">
        <w:rPr>
          <w:sz w:val="24"/>
        </w:rPr>
        <w:t>evidenzia come</w:t>
      </w:r>
      <w:r w:rsidRPr="007A0388">
        <w:rPr>
          <w:sz w:val="24"/>
        </w:rPr>
        <w:t xml:space="preserve"> gli stanziamenti provinciali per il settore culturale </w:t>
      </w:r>
      <w:r w:rsidR="00B94504">
        <w:rPr>
          <w:sz w:val="24"/>
        </w:rPr>
        <w:t>siano</w:t>
      </w:r>
      <w:r w:rsidRPr="007A0388">
        <w:rPr>
          <w:sz w:val="24"/>
        </w:rPr>
        <w:t xml:space="preserve"> decimati: solo considerando </w:t>
      </w:r>
      <w:r w:rsidRPr="000A2402">
        <w:rPr>
          <w:sz w:val="24"/>
        </w:rPr>
        <w:t>gli ultimi cinque anni si è passati da 131 milioni a 52 milioni di euro annui.</w:t>
      </w:r>
    </w:p>
    <w:p w:rsidR="004B5803" w:rsidRPr="000A2402" w:rsidRDefault="004B5803" w:rsidP="00B94504">
      <w:pPr>
        <w:spacing w:after="120" w:line="276" w:lineRule="auto"/>
        <w:jc w:val="both"/>
        <w:rPr>
          <w:noProof/>
          <w:sz w:val="24"/>
          <w:lang w:eastAsia="it-IT"/>
        </w:rPr>
      </w:pPr>
      <w:r w:rsidRPr="009E4723">
        <w:rPr>
          <w:noProof/>
          <w:sz w:val="24"/>
          <w:lang w:eastAsia="it-IT"/>
        </w:rPr>
        <w:t xml:space="preserve">A livello di città </w:t>
      </w:r>
      <w:r w:rsidR="009E4723" w:rsidRPr="009E4723">
        <w:rPr>
          <w:b/>
          <w:noProof/>
          <w:sz w:val="24"/>
          <w:u w:val="single"/>
          <w:lang w:eastAsia="it-IT"/>
        </w:rPr>
        <w:t>Napoli</w:t>
      </w:r>
      <w:r w:rsidRPr="009E4723">
        <w:rPr>
          <w:noProof/>
          <w:sz w:val="24"/>
          <w:lang w:eastAsia="it-IT"/>
        </w:rPr>
        <w:t xml:space="preserve"> destina alla spesa in cultura </w:t>
      </w:r>
      <w:r w:rsidR="009E4723" w:rsidRPr="009E4723">
        <w:rPr>
          <w:noProof/>
          <w:sz w:val="24"/>
          <w:lang w:eastAsia="it-IT"/>
        </w:rPr>
        <w:t>60,6</w:t>
      </w:r>
      <w:r w:rsidRPr="009E4723">
        <w:rPr>
          <w:noProof/>
          <w:sz w:val="24"/>
          <w:lang w:eastAsia="it-IT"/>
        </w:rPr>
        <w:t xml:space="preserve"> euro </w:t>
      </w:r>
      <w:r w:rsidR="009E4723" w:rsidRPr="009E4723">
        <w:rPr>
          <w:noProof/>
          <w:sz w:val="24"/>
          <w:lang w:eastAsia="it-IT"/>
        </w:rPr>
        <w:t xml:space="preserve">procapite </w:t>
      </w:r>
      <w:r w:rsidR="009E4723">
        <w:rPr>
          <w:noProof/>
          <w:sz w:val="24"/>
          <w:lang w:eastAsia="it-IT"/>
        </w:rPr>
        <w:t>(</w:t>
      </w:r>
      <w:r w:rsidRPr="009E4723">
        <w:rPr>
          <w:noProof/>
          <w:sz w:val="24"/>
          <w:lang w:eastAsia="it-IT"/>
        </w:rPr>
        <w:t>per ciascun cittadino residente</w:t>
      </w:r>
      <w:r w:rsidR="009E4723">
        <w:rPr>
          <w:noProof/>
          <w:sz w:val="24"/>
          <w:lang w:eastAsia="it-IT"/>
        </w:rPr>
        <w:t>)</w:t>
      </w:r>
      <w:r w:rsidRPr="009E4723">
        <w:rPr>
          <w:noProof/>
          <w:sz w:val="24"/>
          <w:lang w:eastAsia="it-IT"/>
        </w:rPr>
        <w:t xml:space="preserve">, posizionandosi </w:t>
      </w:r>
      <w:r w:rsidR="009E4723" w:rsidRPr="009E4723">
        <w:rPr>
          <w:noProof/>
          <w:sz w:val="24"/>
          <w:lang w:eastAsia="it-IT"/>
        </w:rPr>
        <w:t>a metà classifica tra i comuni più popolosi dello stivale</w:t>
      </w:r>
      <w:r w:rsidRPr="009E4723">
        <w:rPr>
          <w:noProof/>
          <w:sz w:val="24"/>
          <w:lang w:eastAsia="it-IT"/>
        </w:rPr>
        <w:t>.</w:t>
      </w:r>
    </w:p>
    <w:p w:rsidR="00AD0DFD" w:rsidRPr="000A2402" w:rsidRDefault="00AD0DFD" w:rsidP="00B94504">
      <w:pPr>
        <w:spacing w:after="120" w:line="276" w:lineRule="auto"/>
        <w:jc w:val="both"/>
        <w:rPr>
          <w:noProof/>
          <w:sz w:val="24"/>
          <w:lang w:eastAsia="it-IT"/>
        </w:rPr>
      </w:pPr>
    </w:p>
    <w:p w:rsidR="00AD0DFD" w:rsidRPr="000A2402" w:rsidRDefault="00AD0DFD" w:rsidP="00B94504">
      <w:pPr>
        <w:spacing w:after="120" w:line="276" w:lineRule="auto"/>
        <w:jc w:val="both"/>
        <w:rPr>
          <w:noProof/>
          <w:sz w:val="24"/>
          <w:lang w:eastAsia="it-IT"/>
        </w:rPr>
      </w:pPr>
    </w:p>
    <w:p w:rsidR="00AD0DFD" w:rsidRPr="000A2402" w:rsidRDefault="00AD0DFD" w:rsidP="00B94504">
      <w:pPr>
        <w:spacing w:after="120" w:line="276" w:lineRule="auto"/>
        <w:jc w:val="both"/>
        <w:rPr>
          <w:noProof/>
          <w:sz w:val="24"/>
          <w:lang w:eastAsia="it-IT"/>
        </w:rPr>
      </w:pPr>
    </w:p>
    <w:p w:rsidR="004B5803" w:rsidRPr="000A2402" w:rsidRDefault="004B5803" w:rsidP="004B5803">
      <w:pPr>
        <w:spacing w:after="0" w:line="240" w:lineRule="auto"/>
        <w:jc w:val="center"/>
        <w:rPr>
          <w:rFonts w:eastAsia="Times New Roman" w:cstheme="minorHAnsi"/>
          <w:b/>
          <w:bCs/>
          <w:color w:val="000000"/>
          <w:szCs w:val="20"/>
          <w:lang w:eastAsia="it-IT"/>
        </w:rPr>
      </w:pPr>
      <w:r w:rsidRPr="000A2402">
        <w:rPr>
          <w:rFonts w:eastAsia="Times New Roman" w:cstheme="minorHAnsi"/>
          <w:b/>
          <w:bCs/>
          <w:color w:val="000000"/>
          <w:szCs w:val="20"/>
          <w:lang w:eastAsia="it-IT"/>
        </w:rPr>
        <w:t xml:space="preserve">Spesa dei 15 Comuni più popolosi d'Italia per la cultura, 2017 </w:t>
      </w:r>
      <w:r w:rsidRPr="000A2402">
        <w:rPr>
          <w:rFonts w:eastAsia="Times New Roman" w:cstheme="minorHAnsi"/>
          <w:i/>
          <w:iCs/>
          <w:color w:val="000000"/>
          <w:szCs w:val="20"/>
          <w:lang w:eastAsia="it-IT"/>
        </w:rPr>
        <w:t>(euro pro capite)</w:t>
      </w:r>
    </w:p>
    <w:p w:rsidR="004B5803" w:rsidRPr="000A2402" w:rsidRDefault="004B5803" w:rsidP="004B5803">
      <w:pPr>
        <w:spacing w:after="120" w:line="276" w:lineRule="auto"/>
        <w:jc w:val="center"/>
        <w:rPr>
          <w:noProof/>
          <w:sz w:val="24"/>
          <w:lang w:eastAsia="it-IT"/>
        </w:rPr>
      </w:pPr>
      <w:r w:rsidRPr="000A2402">
        <w:rPr>
          <w:noProof/>
          <w:lang w:eastAsia="it-IT"/>
        </w:rPr>
        <w:lastRenderedPageBreak/>
        <w:drawing>
          <wp:inline distT="0" distB="0" distL="0" distR="0" wp14:anchorId="4C00674B" wp14:editId="76E6B2D0">
            <wp:extent cx="5097780" cy="2886075"/>
            <wp:effectExtent l="0" t="0" r="7620" b="9525"/>
            <wp:docPr id="10" name="Gra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B5803" w:rsidRPr="004B5803" w:rsidRDefault="004B5803" w:rsidP="004B5803">
      <w:pPr>
        <w:spacing w:after="0" w:line="240" w:lineRule="auto"/>
        <w:jc w:val="center"/>
        <w:rPr>
          <w:rFonts w:eastAsia="Times New Roman" w:cstheme="minorHAnsi"/>
          <w:sz w:val="18"/>
          <w:szCs w:val="18"/>
          <w:lang w:eastAsia="it-IT"/>
        </w:rPr>
      </w:pPr>
      <w:r w:rsidRPr="000A2402">
        <w:rPr>
          <w:rFonts w:eastAsia="Times New Roman" w:cstheme="minorHAnsi"/>
          <w:sz w:val="18"/>
          <w:szCs w:val="18"/>
          <w:lang w:eastAsia="it-IT"/>
        </w:rPr>
        <w:t>Fonte: elaborazione Federculture su dati Open Bilanci e Direzione Centrale della Finanza Locale</w:t>
      </w:r>
    </w:p>
    <w:p w:rsidR="004B5803" w:rsidRDefault="004B5803" w:rsidP="00B94504">
      <w:pPr>
        <w:spacing w:after="120" w:line="276" w:lineRule="auto"/>
        <w:jc w:val="both"/>
        <w:rPr>
          <w:noProof/>
          <w:sz w:val="24"/>
          <w:lang w:eastAsia="it-IT"/>
        </w:rPr>
      </w:pPr>
    </w:p>
    <w:p w:rsidR="00592CDB" w:rsidRDefault="00B94504" w:rsidP="00B94504">
      <w:pPr>
        <w:spacing w:after="120" w:line="276" w:lineRule="auto"/>
        <w:jc w:val="both"/>
        <w:rPr>
          <w:noProof/>
          <w:sz w:val="24"/>
          <w:lang w:eastAsia="it-IT"/>
        </w:rPr>
      </w:pPr>
      <w:r w:rsidRPr="00B94504">
        <w:rPr>
          <w:noProof/>
          <w:sz w:val="24"/>
          <w:lang w:eastAsia="it-IT"/>
        </w:rPr>
        <w:t xml:space="preserve">Importanti risorse per il settore arrivano dalle </w:t>
      </w:r>
      <w:r w:rsidRPr="00B94504">
        <w:rPr>
          <w:b/>
          <w:noProof/>
          <w:sz w:val="24"/>
          <w:lang w:eastAsia="it-IT"/>
        </w:rPr>
        <w:t>Regioni</w:t>
      </w:r>
      <w:r w:rsidRPr="00B94504">
        <w:rPr>
          <w:noProof/>
          <w:sz w:val="24"/>
          <w:lang w:eastAsia="it-IT"/>
        </w:rPr>
        <w:t xml:space="preserve"> che nel 2018 complessivamente stanziano </w:t>
      </w:r>
      <w:r w:rsidRPr="00B94504">
        <w:rPr>
          <w:b/>
          <w:noProof/>
          <w:sz w:val="24"/>
          <w:lang w:eastAsia="it-IT"/>
        </w:rPr>
        <w:t>1,5 miliardi di euro</w:t>
      </w:r>
      <w:r w:rsidRPr="00B94504">
        <w:rPr>
          <w:noProof/>
          <w:sz w:val="24"/>
          <w:lang w:eastAsia="it-IT"/>
        </w:rPr>
        <w:t xml:space="preserve"> – valore del 5% superiore a quello dell’anno precedente – distribuiti però in modo diverso nel paese. Si va, infatti dai 6,5 milioni di euro del Molise ai 257 del Trentino Alto Adige</w:t>
      </w:r>
    </w:p>
    <w:p w:rsidR="00B94504" w:rsidRDefault="00B94504" w:rsidP="00B94504">
      <w:pPr>
        <w:spacing w:after="0" w:line="276" w:lineRule="auto"/>
        <w:jc w:val="center"/>
        <w:rPr>
          <w:b/>
          <w:noProof/>
          <w:lang w:eastAsia="it-IT"/>
        </w:rPr>
      </w:pPr>
      <w:r w:rsidRPr="00B94504">
        <w:rPr>
          <w:b/>
          <w:noProof/>
          <w:lang w:eastAsia="it-IT"/>
        </w:rPr>
        <w:t>Amministrazione regionali, totale spese per Tutela e valorizzazione dei b</w:t>
      </w:r>
      <w:r>
        <w:rPr>
          <w:b/>
          <w:noProof/>
          <w:lang w:eastAsia="it-IT"/>
        </w:rPr>
        <w:t>eni e delle attivita' culturali</w:t>
      </w:r>
    </w:p>
    <w:p w:rsidR="00B94504" w:rsidRPr="00B94504" w:rsidRDefault="00B94504" w:rsidP="00B94504">
      <w:pPr>
        <w:spacing w:after="0" w:line="276" w:lineRule="auto"/>
        <w:jc w:val="center"/>
        <w:rPr>
          <w:i/>
          <w:noProof/>
          <w:lang w:eastAsia="it-IT"/>
        </w:rPr>
      </w:pPr>
      <w:r>
        <w:rPr>
          <w:i/>
          <w:noProof/>
          <w:lang w:eastAsia="it-IT"/>
        </w:rPr>
        <w:t>(milioni di euro) *</w:t>
      </w:r>
    </w:p>
    <w:tbl>
      <w:tblPr>
        <w:tblW w:w="6962" w:type="dxa"/>
        <w:jc w:val="center"/>
        <w:tblCellMar>
          <w:left w:w="70" w:type="dxa"/>
          <w:right w:w="70" w:type="dxa"/>
        </w:tblCellMar>
        <w:tblLook w:val="04A0" w:firstRow="1" w:lastRow="0" w:firstColumn="1" w:lastColumn="0" w:noHBand="0" w:noVBand="1"/>
      </w:tblPr>
      <w:tblGrid>
        <w:gridCol w:w="1982"/>
        <w:gridCol w:w="1600"/>
        <w:gridCol w:w="1660"/>
        <w:gridCol w:w="1720"/>
      </w:tblGrid>
      <w:tr w:rsidR="00B94504" w:rsidRPr="00B94504" w:rsidTr="00F13244">
        <w:trPr>
          <w:trHeight w:val="371"/>
          <w:jc w:val="center"/>
        </w:trPr>
        <w:tc>
          <w:tcPr>
            <w:tcW w:w="1982" w:type="dxa"/>
            <w:tcBorders>
              <w:top w:val="single" w:sz="4" w:space="0" w:color="auto"/>
              <w:left w:val="nil"/>
              <w:bottom w:val="single" w:sz="4" w:space="0" w:color="auto"/>
              <w:right w:val="nil"/>
            </w:tcBorders>
            <w:shd w:val="clear" w:color="auto" w:fill="D5DCE4" w:themeFill="text2" w:themeFillTint="33"/>
            <w:noWrap/>
            <w:vAlign w:val="bottom"/>
            <w:hideMark/>
          </w:tcPr>
          <w:p w:rsidR="00B94504" w:rsidRPr="00B94504" w:rsidRDefault="00B94504" w:rsidP="00B94504">
            <w:pPr>
              <w:spacing w:after="0" w:line="240" w:lineRule="auto"/>
              <w:jc w:val="center"/>
              <w:rPr>
                <w:rFonts w:eastAsia="Times New Roman" w:cstheme="minorHAnsi"/>
                <w:color w:val="000000"/>
                <w:sz w:val="20"/>
                <w:szCs w:val="20"/>
                <w:lang w:eastAsia="it-IT"/>
              </w:rPr>
            </w:pPr>
          </w:p>
        </w:tc>
        <w:tc>
          <w:tcPr>
            <w:tcW w:w="1600" w:type="dxa"/>
            <w:tcBorders>
              <w:top w:val="single" w:sz="4" w:space="0" w:color="auto"/>
              <w:left w:val="nil"/>
              <w:bottom w:val="nil"/>
              <w:right w:val="nil"/>
            </w:tcBorders>
            <w:shd w:val="clear" w:color="auto" w:fill="D5DCE4" w:themeFill="text2" w:themeFillTint="33"/>
            <w:noWrap/>
            <w:vAlign w:val="center"/>
            <w:hideMark/>
          </w:tcPr>
          <w:p w:rsidR="00B94504" w:rsidRPr="00B94504" w:rsidRDefault="00B94504" w:rsidP="00B94504">
            <w:pPr>
              <w:spacing w:after="0" w:line="240" w:lineRule="auto"/>
              <w:jc w:val="center"/>
              <w:rPr>
                <w:rFonts w:eastAsia="Times New Roman" w:cstheme="minorHAnsi"/>
                <w:b/>
                <w:bCs/>
                <w:color w:val="000000"/>
                <w:sz w:val="20"/>
                <w:szCs w:val="20"/>
                <w:lang w:eastAsia="it-IT"/>
              </w:rPr>
            </w:pPr>
            <w:r w:rsidRPr="00B94504">
              <w:rPr>
                <w:rFonts w:eastAsia="Times New Roman" w:cstheme="minorHAnsi"/>
                <w:b/>
                <w:bCs/>
                <w:color w:val="000000"/>
                <w:sz w:val="20"/>
                <w:szCs w:val="20"/>
                <w:lang w:eastAsia="it-IT"/>
              </w:rPr>
              <w:t>2016</w:t>
            </w:r>
          </w:p>
        </w:tc>
        <w:tc>
          <w:tcPr>
            <w:tcW w:w="1660" w:type="dxa"/>
            <w:tcBorders>
              <w:top w:val="single" w:sz="4" w:space="0" w:color="auto"/>
              <w:left w:val="nil"/>
              <w:bottom w:val="single" w:sz="4" w:space="0" w:color="auto"/>
              <w:right w:val="nil"/>
            </w:tcBorders>
            <w:shd w:val="clear" w:color="auto" w:fill="D5DCE4" w:themeFill="text2" w:themeFillTint="33"/>
            <w:noWrap/>
            <w:vAlign w:val="center"/>
            <w:hideMark/>
          </w:tcPr>
          <w:p w:rsidR="00B94504" w:rsidRPr="00B94504" w:rsidRDefault="00B94504" w:rsidP="00B94504">
            <w:pPr>
              <w:spacing w:after="0" w:line="240" w:lineRule="auto"/>
              <w:jc w:val="center"/>
              <w:rPr>
                <w:rFonts w:eastAsia="Times New Roman" w:cstheme="minorHAnsi"/>
                <w:b/>
                <w:bCs/>
                <w:color w:val="000000"/>
                <w:sz w:val="20"/>
                <w:szCs w:val="20"/>
                <w:lang w:eastAsia="it-IT"/>
              </w:rPr>
            </w:pPr>
            <w:r w:rsidRPr="00B94504">
              <w:rPr>
                <w:rFonts w:eastAsia="Times New Roman" w:cstheme="minorHAnsi"/>
                <w:b/>
                <w:bCs/>
                <w:color w:val="000000"/>
                <w:sz w:val="20"/>
                <w:szCs w:val="20"/>
                <w:lang w:eastAsia="it-IT"/>
              </w:rPr>
              <w:t>2017</w:t>
            </w:r>
          </w:p>
        </w:tc>
        <w:tc>
          <w:tcPr>
            <w:tcW w:w="1720" w:type="dxa"/>
            <w:tcBorders>
              <w:top w:val="single" w:sz="4" w:space="0" w:color="auto"/>
              <w:left w:val="nil"/>
              <w:bottom w:val="single" w:sz="4" w:space="0" w:color="auto"/>
              <w:right w:val="nil"/>
            </w:tcBorders>
            <w:shd w:val="clear" w:color="auto" w:fill="D5DCE4" w:themeFill="text2" w:themeFillTint="33"/>
            <w:noWrap/>
            <w:vAlign w:val="center"/>
            <w:hideMark/>
          </w:tcPr>
          <w:p w:rsidR="00B94504" w:rsidRPr="00B94504" w:rsidRDefault="00B94504" w:rsidP="00B94504">
            <w:pPr>
              <w:spacing w:after="0" w:line="240" w:lineRule="auto"/>
              <w:jc w:val="center"/>
              <w:rPr>
                <w:rFonts w:eastAsia="Times New Roman" w:cstheme="minorHAnsi"/>
                <w:b/>
                <w:bCs/>
                <w:color w:val="000000"/>
                <w:sz w:val="20"/>
                <w:szCs w:val="20"/>
                <w:lang w:eastAsia="it-IT"/>
              </w:rPr>
            </w:pPr>
            <w:r w:rsidRPr="00B94504">
              <w:rPr>
                <w:rFonts w:eastAsia="Times New Roman" w:cstheme="minorHAnsi"/>
                <w:b/>
                <w:bCs/>
                <w:color w:val="000000"/>
                <w:sz w:val="20"/>
                <w:szCs w:val="20"/>
                <w:lang w:eastAsia="it-IT"/>
              </w:rPr>
              <w:t>2018</w:t>
            </w:r>
          </w:p>
        </w:tc>
      </w:tr>
      <w:tr w:rsidR="00B94504" w:rsidRPr="00B94504" w:rsidTr="00F13244">
        <w:trPr>
          <w:trHeight w:val="283"/>
          <w:jc w:val="center"/>
        </w:trPr>
        <w:tc>
          <w:tcPr>
            <w:tcW w:w="1982" w:type="dxa"/>
            <w:tcBorders>
              <w:top w:val="nil"/>
              <w:left w:val="nil"/>
              <w:bottom w:val="nil"/>
              <w:right w:val="nil"/>
            </w:tcBorders>
            <w:shd w:val="clear" w:color="000000" w:fill="FFFFFF"/>
            <w:noWrap/>
            <w:vAlign w:val="center"/>
            <w:hideMark/>
          </w:tcPr>
          <w:p w:rsidR="00B94504" w:rsidRPr="00B94504" w:rsidRDefault="00B94504" w:rsidP="00B94504">
            <w:pPr>
              <w:spacing w:after="0" w:line="240" w:lineRule="auto"/>
              <w:rPr>
                <w:rFonts w:eastAsia="Times New Roman" w:cstheme="minorHAnsi"/>
                <w:color w:val="000000"/>
                <w:sz w:val="20"/>
                <w:szCs w:val="20"/>
                <w:lang w:eastAsia="it-IT"/>
              </w:rPr>
            </w:pPr>
            <w:r w:rsidRPr="00B94504">
              <w:rPr>
                <w:rFonts w:eastAsia="Times New Roman" w:cstheme="minorHAnsi"/>
                <w:color w:val="000000"/>
                <w:sz w:val="20"/>
                <w:szCs w:val="20"/>
                <w:lang w:eastAsia="it-IT"/>
              </w:rPr>
              <w:t>Abruzzo</w:t>
            </w:r>
          </w:p>
        </w:tc>
        <w:tc>
          <w:tcPr>
            <w:tcW w:w="1600" w:type="dxa"/>
            <w:tcBorders>
              <w:top w:val="single" w:sz="4" w:space="0" w:color="auto"/>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35.551.200</w:t>
            </w:r>
          </w:p>
        </w:tc>
        <w:tc>
          <w:tcPr>
            <w:tcW w:w="166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36.518.713</w:t>
            </w:r>
          </w:p>
        </w:tc>
        <w:tc>
          <w:tcPr>
            <w:tcW w:w="172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27.110.146</w:t>
            </w:r>
          </w:p>
        </w:tc>
      </w:tr>
      <w:tr w:rsidR="00B94504" w:rsidRPr="00B94504" w:rsidTr="00F13244">
        <w:trPr>
          <w:trHeight w:val="283"/>
          <w:jc w:val="center"/>
        </w:trPr>
        <w:tc>
          <w:tcPr>
            <w:tcW w:w="1982" w:type="dxa"/>
            <w:tcBorders>
              <w:top w:val="nil"/>
              <w:left w:val="nil"/>
              <w:bottom w:val="nil"/>
              <w:right w:val="nil"/>
            </w:tcBorders>
            <w:shd w:val="clear" w:color="000000" w:fill="FFFFFF"/>
            <w:noWrap/>
            <w:vAlign w:val="center"/>
            <w:hideMark/>
          </w:tcPr>
          <w:p w:rsidR="00B94504" w:rsidRPr="00B94504" w:rsidRDefault="00B94504" w:rsidP="00B94504">
            <w:pPr>
              <w:spacing w:after="0" w:line="240" w:lineRule="auto"/>
              <w:rPr>
                <w:rFonts w:eastAsia="Times New Roman" w:cstheme="minorHAnsi"/>
                <w:color w:val="000000"/>
                <w:sz w:val="20"/>
                <w:szCs w:val="20"/>
                <w:lang w:eastAsia="it-IT"/>
              </w:rPr>
            </w:pPr>
            <w:r w:rsidRPr="00B94504">
              <w:rPr>
                <w:rFonts w:eastAsia="Times New Roman" w:cstheme="minorHAnsi"/>
                <w:color w:val="000000"/>
                <w:sz w:val="20"/>
                <w:szCs w:val="20"/>
                <w:lang w:eastAsia="it-IT"/>
              </w:rPr>
              <w:t>Basilicata</w:t>
            </w:r>
          </w:p>
        </w:tc>
        <w:tc>
          <w:tcPr>
            <w:tcW w:w="160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96.527.226</w:t>
            </w:r>
          </w:p>
        </w:tc>
        <w:tc>
          <w:tcPr>
            <w:tcW w:w="166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88.295.012</w:t>
            </w:r>
          </w:p>
        </w:tc>
        <w:tc>
          <w:tcPr>
            <w:tcW w:w="172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67.943.262</w:t>
            </w:r>
          </w:p>
        </w:tc>
      </w:tr>
      <w:tr w:rsidR="00B94504" w:rsidRPr="00B94504" w:rsidTr="00F13244">
        <w:trPr>
          <w:trHeight w:val="283"/>
          <w:jc w:val="center"/>
        </w:trPr>
        <w:tc>
          <w:tcPr>
            <w:tcW w:w="1982" w:type="dxa"/>
            <w:tcBorders>
              <w:top w:val="nil"/>
              <w:left w:val="nil"/>
              <w:bottom w:val="nil"/>
              <w:right w:val="nil"/>
            </w:tcBorders>
            <w:shd w:val="clear" w:color="000000" w:fill="FFFFFF"/>
            <w:noWrap/>
            <w:vAlign w:val="center"/>
            <w:hideMark/>
          </w:tcPr>
          <w:p w:rsidR="00B94504" w:rsidRPr="00B94504" w:rsidRDefault="00B94504" w:rsidP="00B94504">
            <w:pPr>
              <w:spacing w:after="0" w:line="240" w:lineRule="auto"/>
              <w:rPr>
                <w:rFonts w:eastAsia="Times New Roman" w:cstheme="minorHAnsi"/>
                <w:color w:val="000000"/>
                <w:sz w:val="20"/>
                <w:szCs w:val="20"/>
                <w:lang w:eastAsia="it-IT"/>
              </w:rPr>
            </w:pPr>
            <w:r w:rsidRPr="00B94504">
              <w:rPr>
                <w:rFonts w:eastAsia="Times New Roman" w:cstheme="minorHAnsi"/>
                <w:color w:val="000000"/>
                <w:sz w:val="20"/>
                <w:szCs w:val="20"/>
                <w:lang w:eastAsia="it-IT"/>
              </w:rPr>
              <w:t>Calabria</w:t>
            </w:r>
          </w:p>
        </w:tc>
        <w:tc>
          <w:tcPr>
            <w:tcW w:w="160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60.274.849</w:t>
            </w:r>
          </w:p>
        </w:tc>
        <w:tc>
          <w:tcPr>
            <w:tcW w:w="166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41.779.403</w:t>
            </w:r>
          </w:p>
        </w:tc>
        <w:tc>
          <w:tcPr>
            <w:tcW w:w="172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71.676.115</w:t>
            </w:r>
          </w:p>
        </w:tc>
      </w:tr>
      <w:tr w:rsidR="00B94504" w:rsidRPr="009E4723" w:rsidTr="00F13244">
        <w:trPr>
          <w:trHeight w:val="283"/>
          <w:jc w:val="center"/>
        </w:trPr>
        <w:tc>
          <w:tcPr>
            <w:tcW w:w="1982" w:type="dxa"/>
            <w:tcBorders>
              <w:top w:val="nil"/>
              <w:left w:val="nil"/>
              <w:bottom w:val="nil"/>
              <w:right w:val="nil"/>
            </w:tcBorders>
            <w:shd w:val="clear" w:color="000000" w:fill="FFFFFF"/>
            <w:noWrap/>
            <w:vAlign w:val="center"/>
            <w:hideMark/>
          </w:tcPr>
          <w:p w:rsidR="00B94504" w:rsidRPr="009E4723" w:rsidRDefault="00B94504" w:rsidP="00B94504">
            <w:pPr>
              <w:spacing w:after="0" w:line="240" w:lineRule="auto"/>
              <w:rPr>
                <w:rFonts w:eastAsia="Times New Roman" w:cstheme="minorHAnsi"/>
                <w:b/>
                <w:color w:val="000000"/>
                <w:sz w:val="20"/>
                <w:szCs w:val="20"/>
                <w:lang w:eastAsia="it-IT"/>
              </w:rPr>
            </w:pPr>
            <w:r w:rsidRPr="009E4723">
              <w:rPr>
                <w:rFonts w:eastAsia="Times New Roman" w:cstheme="minorHAnsi"/>
                <w:b/>
                <w:color w:val="000000"/>
                <w:sz w:val="20"/>
                <w:szCs w:val="20"/>
                <w:lang w:eastAsia="it-IT"/>
              </w:rPr>
              <w:t>Campania</w:t>
            </w:r>
          </w:p>
        </w:tc>
        <w:tc>
          <w:tcPr>
            <w:tcW w:w="1600" w:type="dxa"/>
            <w:tcBorders>
              <w:top w:val="nil"/>
              <w:left w:val="nil"/>
              <w:bottom w:val="nil"/>
              <w:right w:val="nil"/>
            </w:tcBorders>
            <w:shd w:val="clear" w:color="000000" w:fill="FFFFFF"/>
            <w:vAlign w:val="center"/>
            <w:hideMark/>
          </w:tcPr>
          <w:p w:rsidR="00B94504" w:rsidRPr="009E4723" w:rsidRDefault="00B94504" w:rsidP="00B94504">
            <w:pPr>
              <w:spacing w:after="0" w:line="240" w:lineRule="auto"/>
              <w:jc w:val="right"/>
              <w:rPr>
                <w:rFonts w:eastAsia="Times New Roman" w:cstheme="minorHAnsi"/>
                <w:b/>
                <w:color w:val="000000"/>
                <w:sz w:val="20"/>
                <w:szCs w:val="20"/>
                <w:lang w:eastAsia="it-IT"/>
              </w:rPr>
            </w:pPr>
            <w:r w:rsidRPr="009E4723">
              <w:rPr>
                <w:rFonts w:eastAsia="Times New Roman" w:cstheme="minorHAnsi"/>
                <w:b/>
                <w:color w:val="000000"/>
                <w:sz w:val="20"/>
                <w:szCs w:val="20"/>
                <w:lang w:eastAsia="it-IT"/>
              </w:rPr>
              <w:t>115.018.862</w:t>
            </w:r>
          </w:p>
        </w:tc>
        <w:tc>
          <w:tcPr>
            <w:tcW w:w="1660" w:type="dxa"/>
            <w:tcBorders>
              <w:top w:val="nil"/>
              <w:left w:val="nil"/>
              <w:bottom w:val="nil"/>
              <w:right w:val="nil"/>
            </w:tcBorders>
            <w:shd w:val="clear" w:color="000000" w:fill="FFFFFF"/>
            <w:vAlign w:val="center"/>
            <w:hideMark/>
          </w:tcPr>
          <w:p w:rsidR="00B94504" w:rsidRPr="009E4723" w:rsidRDefault="00B94504" w:rsidP="00B94504">
            <w:pPr>
              <w:spacing w:after="0" w:line="240" w:lineRule="auto"/>
              <w:jc w:val="right"/>
              <w:rPr>
                <w:rFonts w:eastAsia="Times New Roman" w:cstheme="minorHAnsi"/>
                <w:b/>
                <w:color w:val="000000"/>
                <w:sz w:val="20"/>
                <w:szCs w:val="20"/>
                <w:lang w:eastAsia="it-IT"/>
              </w:rPr>
            </w:pPr>
            <w:r w:rsidRPr="009E4723">
              <w:rPr>
                <w:rFonts w:eastAsia="Times New Roman" w:cstheme="minorHAnsi"/>
                <w:b/>
                <w:color w:val="000000"/>
                <w:sz w:val="20"/>
                <w:szCs w:val="20"/>
                <w:lang w:eastAsia="it-IT"/>
              </w:rPr>
              <w:t>119.245.479</w:t>
            </w:r>
          </w:p>
        </w:tc>
        <w:tc>
          <w:tcPr>
            <w:tcW w:w="1720" w:type="dxa"/>
            <w:tcBorders>
              <w:top w:val="nil"/>
              <w:left w:val="nil"/>
              <w:bottom w:val="nil"/>
              <w:right w:val="nil"/>
            </w:tcBorders>
            <w:shd w:val="clear" w:color="000000" w:fill="FFFFFF"/>
            <w:vAlign w:val="center"/>
            <w:hideMark/>
          </w:tcPr>
          <w:p w:rsidR="00B94504" w:rsidRPr="009E4723" w:rsidRDefault="00B94504" w:rsidP="00B94504">
            <w:pPr>
              <w:spacing w:after="0" w:line="240" w:lineRule="auto"/>
              <w:jc w:val="right"/>
              <w:rPr>
                <w:rFonts w:eastAsia="Times New Roman" w:cstheme="minorHAnsi"/>
                <w:b/>
                <w:color w:val="000000"/>
                <w:sz w:val="20"/>
                <w:szCs w:val="20"/>
                <w:lang w:eastAsia="it-IT"/>
              </w:rPr>
            </w:pPr>
            <w:r w:rsidRPr="009E4723">
              <w:rPr>
                <w:rFonts w:eastAsia="Times New Roman" w:cstheme="minorHAnsi"/>
                <w:b/>
                <w:color w:val="000000"/>
                <w:sz w:val="20"/>
                <w:szCs w:val="20"/>
                <w:lang w:eastAsia="it-IT"/>
              </w:rPr>
              <w:t>177.332.840</w:t>
            </w:r>
          </w:p>
        </w:tc>
      </w:tr>
      <w:tr w:rsidR="00B94504" w:rsidRPr="00B94504" w:rsidTr="00F13244">
        <w:trPr>
          <w:trHeight w:val="283"/>
          <w:jc w:val="center"/>
        </w:trPr>
        <w:tc>
          <w:tcPr>
            <w:tcW w:w="1982" w:type="dxa"/>
            <w:tcBorders>
              <w:top w:val="nil"/>
              <w:left w:val="nil"/>
              <w:bottom w:val="nil"/>
              <w:right w:val="nil"/>
            </w:tcBorders>
            <w:shd w:val="clear" w:color="000000" w:fill="FFFFFF"/>
            <w:noWrap/>
            <w:vAlign w:val="center"/>
            <w:hideMark/>
          </w:tcPr>
          <w:p w:rsidR="00B94504" w:rsidRPr="00B94504" w:rsidRDefault="00B94504" w:rsidP="00B94504">
            <w:pPr>
              <w:spacing w:after="0" w:line="240" w:lineRule="auto"/>
              <w:rPr>
                <w:rFonts w:eastAsia="Times New Roman" w:cstheme="minorHAnsi"/>
                <w:color w:val="000000"/>
                <w:sz w:val="20"/>
                <w:szCs w:val="20"/>
                <w:lang w:eastAsia="it-IT"/>
              </w:rPr>
            </w:pPr>
            <w:r w:rsidRPr="00B94504">
              <w:rPr>
                <w:rFonts w:eastAsia="Times New Roman" w:cstheme="minorHAnsi"/>
                <w:color w:val="000000"/>
                <w:sz w:val="20"/>
                <w:szCs w:val="20"/>
                <w:lang w:eastAsia="it-IT"/>
              </w:rPr>
              <w:t>Emilia Romagna</w:t>
            </w:r>
          </w:p>
        </w:tc>
        <w:tc>
          <w:tcPr>
            <w:tcW w:w="160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50.191.474</w:t>
            </w:r>
          </w:p>
        </w:tc>
        <w:tc>
          <w:tcPr>
            <w:tcW w:w="166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55.415.624</w:t>
            </w:r>
          </w:p>
        </w:tc>
        <w:tc>
          <w:tcPr>
            <w:tcW w:w="172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55.218.168</w:t>
            </w:r>
          </w:p>
        </w:tc>
      </w:tr>
      <w:tr w:rsidR="00B94504" w:rsidRPr="00B94504" w:rsidTr="00F13244">
        <w:trPr>
          <w:trHeight w:val="283"/>
          <w:jc w:val="center"/>
        </w:trPr>
        <w:tc>
          <w:tcPr>
            <w:tcW w:w="1982" w:type="dxa"/>
            <w:tcBorders>
              <w:top w:val="nil"/>
              <w:left w:val="nil"/>
              <w:bottom w:val="nil"/>
              <w:right w:val="nil"/>
            </w:tcBorders>
            <w:shd w:val="clear" w:color="000000" w:fill="FFFFFF"/>
            <w:noWrap/>
            <w:vAlign w:val="center"/>
            <w:hideMark/>
          </w:tcPr>
          <w:p w:rsidR="00B94504" w:rsidRPr="00B94504" w:rsidRDefault="00B94504" w:rsidP="00062E5E">
            <w:pPr>
              <w:spacing w:after="0" w:line="240" w:lineRule="auto"/>
              <w:rPr>
                <w:rFonts w:eastAsia="Times New Roman" w:cstheme="minorHAnsi"/>
                <w:color w:val="000000"/>
                <w:sz w:val="20"/>
                <w:szCs w:val="20"/>
                <w:lang w:eastAsia="it-IT"/>
              </w:rPr>
            </w:pPr>
            <w:r w:rsidRPr="00B94504">
              <w:rPr>
                <w:rFonts w:eastAsia="Times New Roman" w:cstheme="minorHAnsi"/>
                <w:color w:val="000000"/>
                <w:sz w:val="20"/>
                <w:szCs w:val="20"/>
                <w:lang w:eastAsia="it-IT"/>
              </w:rPr>
              <w:t>Friuli Venezia Giulia</w:t>
            </w:r>
          </w:p>
        </w:tc>
        <w:tc>
          <w:tcPr>
            <w:tcW w:w="160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159.142.198</w:t>
            </w:r>
          </w:p>
        </w:tc>
        <w:tc>
          <w:tcPr>
            <w:tcW w:w="166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161.459.483</w:t>
            </w:r>
          </w:p>
        </w:tc>
        <w:tc>
          <w:tcPr>
            <w:tcW w:w="172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161.807.781</w:t>
            </w:r>
          </w:p>
        </w:tc>
      </w:tr>
      <w:tr w:rsidR="00B94504" w:rsidRPr="00B94504" w:rsidTr="00F13244">
        <w:trPr>
          <w:trHeight w:val="283"/>
          <w:jc w:val="center"/>
        </w:trPr>
        <w:tc>
          <w:tcPr>
            <w:tcW w:w="1982" w:type="dxa"/>
            <w:tcBorders>
              <w:top w:val="nil"/>
              <w:left w:val="nil"/>
              <w:bottom w:val="nil"/>
              <w:right w:val="nil"/>
            </w:tcBorders>
            <w:shd w:val="clear" w:color="000000" w:fill="FFFFFF"/>
            <w:noWrap/>
            <w:vAlign w:val="center"/>
            <w:hideMark/>
          </w:tcPr>
          <w:p w:rsidR="00B94504" w:rsidRPr="00B94504" w:rsidRDefault="00B94504" w:rsidP="00B94504">
            <w:pPr>
              <w:spacing w:after="0" w:line="240" w:lineRule="auto"/>
              <w:rPr>
                <w:rFonts w:eastAsia="Times New Roman" w:cstheme="minorHAnsi"/>
                <w:color w:val="000000"/>
                <w:sz w:val="20"/>
                <w:szCs w:val="20"/>
                <w:lang w:eastAsia="it-IT"/>
              </w:rPr>
            </w:pPr>
            <w:r w:rsidRPr="00B94504">
              <w:rPr>
                <w:rFonts w:eastAsia="Times New Roman" w:cstheme="minorHAnsi"/>
                <w:color w:val="000000"/>
                <w:sz w:val="20"/>
                <w:szCs w:val="20"/>
                <w:lang w:eastAsia="it-IT"/>
              </w:rPr>
              <w:t>Lazio</w:t>
            </w:r>
          </w:p>
        </w:tc>
        <w:tc>
          <w:tcPr>
            <w:tcW w:w="160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93.993.300</w:t>
            </w:r>
          </w:p>
        </w:tc>
        <w:tc>
          <w:tcPr>
            <w:tcW w:w="166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91.939.783</w:t>
            </w:r>
          </w:p>
        </w:tc>
        <w:tc>
          <w:tcPr>
            <w:tcW w:w="172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107.638.375</w:t>
            </w:r>
          </w:p>
        </w:tc>
      </w:tr>
      <w:tr w:rsidR="00B94504" w:rsidRPr="00B94504" w:rsidTr="00F13244">
        <w:trPr>
          <w:trHeight w:val="283"/>
          <w:jc w:val="center"/>
        </w:trPr>
        <w:tc>
          <w:tcPr>
            <w:tcW w:w="1982" w:type="dxa"/>
            <w:tcBorders>
              <w:top w:val="nil"/>
              <w:left w:val="nil"/>
              <w:bottom w:val="nil"/>
              <w:right w:val="nil"/>
            </w:tcBorders>
            <w:shd w:val="clear" w:color="000000" w:fill="FFFFFF"/>
            <w:noWrap/>
            <w:vAlign w:val="center"/>
            <w:hideMark/>
          </w:tcPr>
          <w:p w:rsidR="00B94504" w:rsidRPr="00B94504" w:rsidRDefault="00B94504" w:rsidP="00B94504">
            <w:pPr>
              <w:spacing w:after="0" w:line="240" w:lineRule="auto"/>
              <w:rPr>
                <w:rFonts w:eastAsia="Times New Roman" w:cstheme="minorHAnsi"/>
                <w:color w:val="000000"/>
                <w:sz w:val="20"/>
                <w:szCs w:val="20"/>
                <w:lang w:eastAsia="it-IT"/>
              </w:rPr>
            </w:pPr>
            <w:r w:rsidRPr="00B94504">
              <w:rPr>
                <w:rFonts w:eastAsia="Times New Roman" w:cstheme="minorHAnsi"/>
                <w:color w:val="000000"/>
                <w:sz w:val="20"/>
                <w:szCs w:val="20"/>
                <w:lang w:eastAsia="it-IT"/>
              </w:rPr>
              <w:t>Liguria</w:t>
            </w:r>
          </w:p>
        </w:tc>
        <w:tc>
          <w:tcPr>
            <w:tcW w:w="160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5.032.694</w:t>
            </w:r>
          </w:p>
        </w:tc>
        <w:tc>
          <w:tcPr>
            <w:tcW w:w="166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6.385.328</w:t>
            </w:r>
          </w:p>
        </w:tc>
        <w:tc>
          <w:tcPr>
            <w:tcW w:w="172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6.606.697</w:t>
            </w:r>
          </w:p>
        </w:tc>
      </w:tr>
      <w:tr w:rsidR="00B2363D" w:rsidRPr="00727B39" w:rsidTr="00F13244">
        <w:trPr>
          <w:trHeight w:val="283"/>
          <w:jc w:val="center"/>
        </w:trPr>
        <w:tc>
          <w:tcPr>
            <w:tcW w:w="1982" w:type="dxa"/>
            <w:tcBorders>
              <w:top w:val="nil"/>
              <w:left w:val="nil"/>
              <w:bottom w:val="nil"/>
              <w:right w:val="nil"/>
            </w:tcBorders>
            <w:shd w:val="clear" w:color="000000" w:fill="FFFFFF"/>
            <w:noWrap/>
            <w:vAlign w:val="center"/>
            <w:hideMark/>
          </w:tcPr>
          <w:p w:rsidR="00B94504" w:rsidRPr="00727B39" w:rsidRDefault="00B94504" w:rsidP="00B94504">
            <w:pPr>
              <w:spacing w:after="0" w:line="240" w:lineRule="auto"/>
              <w:rPr>
                <w:rFonts w:eastAsia="Times New Roman" w:cstheme="minorHAnsi"/>
                <w:sz w:val="20"/>
                <w:szCs w:val="20"/>
                <w:lang w:eastAsia="it-IT"/>
              </w:rPr>
            </w:pPr>
            <w:r w:rsidRPr="00727B39">
              <w:rPr>
                <w:rFonts w:eastAsia="Times New Roman" w:cstheme="minorHAnsi"/>
                <w:sz w:val="20"/>
                <w:szCs w:val="20"/>
                <w:lang w:eastAsia="it-IT"/>
              </w:rPr>
              <w:t>Lombardia</w:t>
            </w:r>
          </w:p>
        </w:tc>
        <w:tc>
          <w:tcPr>
            <w:tcW w:w="1600" w:type="dxa"/>
            <w:tcBorders>
              <w:top w:val="nil"/>
              <w:left w:val="nil"/>
              <w:bottom w:val="nil"/>
              <w:right w:val="nil"/>
            </w:tcBorders>
            <w:shd w:val="clear" w:color="000000" w:fill="FFFFFF"/>
            <w:vAlign w:val="center"/>
            <w:hideMark/>
          </w:tcPr>
          <w:p w:rsidR="00B94504" w:rsidRPr="00727B39" w:rsidRDefault="00B94504" w:rsidP="00B94504">
            <w:pPr>
              <w:spacing w:after="0" w:line="240" w:lineRule="auto"/>
              <w:jc w:val="right"/>
              <w:rPr>
                <w:rFonts w:eastAsia="Times New Roman" w:cstheme="minorHAnsi"/>
                <w:sz w:val="20"/>
                <w:szCs w:val="20"/>
                <w:lang w:eastAsia="it-IT"/>
              </w:rPr>
            </w:pPr>
            <w:r w:rsidRPr="00727B39">
              <w:rPr>
                <w:rFonts w:eastAsia="Times New Roman" w:cstheme="minorHAnsi"/>
                <w:sz w:val="20"/>
                <w:szCs w:val="20"/>
                <w:lang w:eastAsia="it-IT"/>
              </w:rPr>
              <w:t>21.993.119</w:t>
            </w:r>
          </w:p>
        </w:tc>
        <w:tc>
          <w:tcPr>
            <w:tcW w:w="1660" w:type="dxa"/>
            <w:tcBorders>
              <w:top w:val="nil"/>
              <w:left w:val="nil"/>
              <w:bottom w:val="nil"/>
              <w:right w:val="nil"/>
            </w:tcBorders>
            <w:shd w:val="clear" w:color="000000" w:fill="FFFFFF"/>
            <w:vAlign w:val="center"/>
            <w:hideMark/>
          </w:tcPr>
          <w:p w:rsidR="00B94504" w:rsidRPr="00727B39" w:rsidRDefault="00B94504" w:rsidP="00B94504">
            <w:pPr>
              <w:spacing w:after="0" w:line="240" w:lineRule="auto"/>
              <w:jc w:val="right"/>
              <w:rPr>
                <w:rFonts w:eastAsia="Times New Roman" w:cstheme="minorHAnsi"/>
                <w:sz w:val="20"/>
                <w:szCs w:val="20"/>
                <w:lang w:eastAsia="it-IT"/>
              </w:rPr>
            </w:pPr>
            <w:r w:rsidRPr="00727B39">
              <w:rPr>
                <w:rFonts w:eastAsia="Times New Roman" w:cstheme="minorHAnsi"/>
                <w:sz w:val="20"/>
                <w:szCs w:val="20"/>
                <w:lang w:eastAsia="it-IT"/>
              </w:rPr>
              <w:t>26.923.264</w:t>
            </w:r>
          </w:p>
        </w:tc>
        <w:tc>
          <w:tcPr>
            <w:tcW w:w="1720" w:type="dxa"/>
            <w:tcBorders>
              <w:top w:val="nil"/>
              <w:left w:val="nil"/>
              <w:bottom w:val="nil"/>
              <w:right w:val="nil"/>
            </w:tcBorders>
            <w:shd w:val="clear" w:color="000000" w:fill="FFFFFF"/>
            <w:vAlign w:val="center"/>
            <w:hideMark/>
          </w:tcPr>
          <w:p w:rsidR="00B94504" w:rsidRPr="00727B39" w:rsidRDefault="00B94504" w:rsidP="00B94504">
            <w:pPr>
              <w:spacing w:after="0" w:line="240" w:lineRule="auto"/>
              <w:jc w:val="right"/>
              <w:rPr>
                <w:rFonts w:eastAsia="Times New Roman" w:cstheme="minorHAnsi"/>
                <w:sz w:val="20"/>
                <w:szCs w:val="20"/>
                <w:lang w:eastAsia="it-IT"/>
              </w:rPr>
            </w:pPr>
            <w:r w:rsidRPr="00727B39">
              <w:rPr>
                <w:rFonts w:eastAsia="Times New Roman" w:cstheme="minorHAnsi"/>
                <w:sz w:val="20"/>
                <w:szCs w:val="20"/>
                <w:lang w:eastAsia="it-IT"/>
              </w:rPr>
              <w:t>33.633.311</w:t>
            </w:r>
          </w:p>
        </w:tc>
      </w:tr>
      <w:tr w:rsidR="00B94504" w:rsidRPr="00B94504" w:rsidTr="00F13244">
        <w:trPr>
          <w:trHeight w:val="283"/>
          <w:jc w:val="center"/>
        </w:trPr>
        <w:tc>
          <w:tcPr>
            <w:tcW w:w="1982" w:type="dxa"/>
            <w:tcBorders>
              <w:top w:val="nil"/>
              <w:left w:val="nil"/>
              <w:bottom w:val="nil"/>
              <w:right w:val="nil"/>
            </w:tcBorders>
            <w:shd w:val="clear" w:color="000000" w:fill="FFFFFF"/>
            <w:noWrap/>
            <w:vAlign w:val="center"/>
            <w:hideMark/>
          </w:tcPr>
          <w:p w:rsidR="00B94504" w:rsidRPr="00B94504" w:rsidRDefault="00B94504" w:rsidP="00B94504">
            <w:pPr>
              <w:spacing w:after="0" w:line="240" w:lineRule="auto"/>
              <w:rPr>
                <w:rFonts w:eastAsia="Times New Roman" w:cstheme="minorHAnsi"/>
                <w:color w:val="000000"/>
                <w:sz w:val="20"/>
                <w:szCs w:val="20"/>
                <w:lang w:eastAsia="it-IT"/>
              </w:rPr>
            </w:pPr>
            <w:r w:rsidRPr="00B94504">
              <w:rPr>
                <w:rFonts w:eastAsia="Times New Roman" w:cstheme="minorHAnsi"/>
                <w:color w:val="000000"/>
                <w:sz w:val="20"/>
                <w:szCs w:val="20"/>
                <w:lang w:eastAsia="it-IT"/>
              </w:rPr>
              <w:t>Marche</w:t>
            </w:r>
          </w:p>
        </w:tc>
        <w:tc>
          <w:tcPr>
            <w:tcW w:w="160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38.323.712</w:t>
            </w:r>
          </w:p>
        </w:tc>
        <w:tc>
          <w:tcPr>
            <w:tcW w:w="166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38.360.025</w:t>
            </w:r>
          </w:p>
        </w:tc>
        <w:tc>
          <w:tcPr>
            <w:tcW w:w="172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27.631.994</w:t>
            </w:r>
          </w:p>
        </w:tc>
      </w:tr>
      <w:tr w:rsidR="00B94504" w:rsidRPr="00B94504" w:rsidTr="00F13244">
        <w:trPr>
          <w:trHeight w:val="283"/>
          <w:jc w:val="center"/>
        </w:trPr>
        <w:tc>
          <w:tcPr>
            <w:tcW w:w="1982" w:type="dxa"/>
            <w:tcBorders>
              <w:top w:val="nil"/>
              <w:left w:val="nil"/>
              <w:bottom w:val="nil"/>
              <w:right w:val="nil"/>
            </w:tcBorders>
            <w:shd w:val="clear" w:color="000000" w:fill="FFFFFF"/>
            <w:noWrap/>
            <w:vAlign w:val="center"/>
            <w:hideMark/>
          </w:tcPr>
          <w:p w:rsidR="00B94504" w:rsidRPr="00B94504" w:rsidRDefault="00B94504" w:rsidP="00B94504">
            <w:pPr>
              <w:spacing w:after="0" w:line="240" w:lineRule="auto"/>
              <w:rPr>
                <w:rFonts w:eastAsia="Times New Roman" w:cstheme="minorHAnsi"/>
                <w:color w:val="000000"/>
                <w:sz w:val="20"/>
                <w:szCs w:val="20"/>
                <w:lang w:eastAsia="it-IT"/>
              </w:rPr>
            </w:pPr>
            <w:r w:rsidRPr="00B94504">
              <w:rPr>
                <w:rFonts w:eastAsia="Times New Roman" w:cstheme="minorHAnsi"/>
                <w:color w:val="000000"/>
                <w:sz w:val="20"/>
                <w:szCs w:val="20"/>
                <w:lang w:eastAsia="it-IT"/>
              </w:rPr>
              <w:t>Molise</w:t>
            </w:r>
          </w:p>
        </w:tc>
        <w:tc>
          <w:tcPr>
            <w:tcW w:w="160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14.448.408</w:t>
            </w:r>
          </w:p>
        </w:tc>
        <w:tc>
          <w:tcPr>
            <w:tcW w:w="166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3.711.045</w:t>
            </w:r>
          </w:p>
        </w:tc>
        <w:tc>
          <w:tcPr>
            <w:tcW w:w="172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6.557.161</w:t>
            </w:r>
          </w:p>
        </w:tc>
      </w:tr>
      <w:tr w:rsidR="00B94504" w:rsidRPr="00B94504" w:rsidTr="00F13244">
        <w:trPr>
          <w:trHeight w:val="283"/>
          <w:jc w:val="center"/>
        </w:trPr>
        <w:tc>
          <w:tcPr>
            <w:tcW w:w="1982" w:type="dxa"/>
            <w:tcBorders>
              <w:top w:val="nil"/>
              <w:left w:val="nil"/>
              <w:bottom w:val="nil"/>
              <w:right w:val="nil"/>
            </w:tcBorders>
            <w:shd w:val="clear" w:color="000000" w:fill="FFFFFF"/>
            <w:noWrap/>
            <w:vAlign w:val="center"/>
            <w:hideMark/>
          </w:tcPr>
          <w:p w:rsidR="00B94504" w:rsidRPr="00B94504" w:rsidRDefault="00B94504" w:rsidP="00B94504">
            <w:pPr>
              <w:spacing w:after="0" w:line="240" w:lineRule="auto"/>
              <w:rPr>
                <w:rFonts w:eastAsia="Times New Roman" w:cstheme="minorHAnsi"/>
                <w:color w:val="000000"/>
                <w:sz w:val="20"/>
                <w:szCs w:val="20"/>
                <w:lang w:eastAsia="it-IT"/>
              </w:rPr>
            </w:pPr>
            <w:r w:rsidRPr="00B94504">
              <w:rPr>
                <w:rFonts w:eastAsia="Times New Roman" w:cstheme="minorHAnsi"/>
                <w:color w:val="000000"/>
                <w:sz w:val="20"/>
                <w:szCs w:val="20"/>
                <w:lang w:eastAsia="it-IT"/>
              </w:rPr>
              <w:t>Piemonte</w:t>
            </w:r>
          </w:p>
        </w:tc>
        <w:tc>
          <w:tcPr>
            <w:tcW w:w="160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74.036.441</w:t>
            </w:r>
          </w:p>
        </w:tc>
        <w:tc>
          <w:tcPr>
            <w:tcW w:w="166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60.961.275</w:t>
            </w:r>
          </w:p>
        </w:tc>
        <w:tc>
          <w:tcPr>
            <w:tcW w:w="172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68.725.391</w:t>
            </w:r>
          </w:p>
        </w:tc>
      </w:tr>
      <w:tr w:rsidR="00B94504" w:rsidRPr="00B94504" w:rsidTr="00F13244">
        <w:trPr>
          <w:trHeight w:val="283"/>
          <w:jc w:val="center"/>
        </w:trPr>
        <w:tc>
          <w:tcPr>
            <w:tcW w:w="1982" w:type="dxa"/>
            <w:tcBorders>
              <w:top w:val="nil"/>
              <w:left w:val="nil"/>
              <w:bottom w:val="nil"/>
              <w:right w:val="nil"/>
            </w:tcBorders>
            <w:shd w:val="clear" w:color="000000" w:fill="FFFFFF"/>
            <w:noWrap/>
            <w:vAlign w:val="center"/>
            <w:hideMark/>
          </w:tcPr>
          <w:p w:rsidR="00B94504" w:rsidRPr="00B94504" w:rsidRDefault="00B94504" w:rsidP="00B94504">
            <w:pPr>
              <w:spacing w:after="0" w:line="240" w:lineRule="auto"/>
              <w:rPr>
                <w:rFonts w:eastAsia="Times New Roman" w:cstheme="minorHAnsi"/>
                <w:color w:val="000000"/>
                <w:sz w:val="20"/>
                <w:szCs w:val="20"/>
                <w:lang w:eastAsia="it-IT"/>
              </w:rPr>
            </w:pPr>
            <w:r w:rsidRPr="00B94504">
              <w:rPr>
                <w:rFonts w:eastAsia="Times New Roman" w:cstheme="minorHAnsi"/>
                <w:color w:val="000000"/>
                <w:sz w:val="20"/>
                <w:szCs w:val="20"/>
                <w:lang w:eastAsia="it-IT"/>
              </w:rPr>
              <w:t>Puglia</w:t>
            </w:r>
          </w:p>
        </w:tc>
        <w:tc>
          <w:tcPr>
            <w:tcW w:w="160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192.407.019</w:t>
            </w:r>
          </w:p>
        </w:tc>
        <w:tc>
          <w:tcPr>
            <w:tcW w:w="166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120.673.083</w:t>
            </w:r>
          </w:p>
        </w:tc>
        <w:tc>
          <w:tcPr>
            <w:tcW w:w="172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96.136.914</w:t>
            </w:r>
          </w:p>
        </w:tc>
      </w:tr>
      <w:tr w:rsidR="00B94504" w:rsidRPr="00B94504" w:rsidTr="00F13244">
        <w:trPr>
          <w:trHeight w:val="283"/>
          <w:jc w:val="center"/>
        </w:trPr>
        <w:tc>
          <w:tcPr>
            <w:tcW w:w="1982" w:type="dxa"/>
            <w:tcBorders>
              <w:top w:val="nil"/>
              <w:left w:val="nil"/>
              <w:bottom w:val="nil"/>
              <w:right w:val="nil"/>
            </w:tcBorders>
            <w:shd w:val="clear" w:color="000000" w:fill="FFFFFF"/>
            <w:noWrap/>
            <w:vAlign w:val="center"/>
            <w:hideMark/>
          </w:tcPr>
          <w:p w:rsidR="00B94504" w:rsidRPr="00B94504" w:rsidRDefault="00B94504" w:rsidP="00B94504">
            <w:pPr>
              <w:spacing w:after="0" w:line="240" w:lineRule="auto"/>
              <w:rPr>
                <w:rFonts w:eastAsia="Times New Roman" w:cstheme="minorHAnsi"/>
                <w:color w:val="000000"/>
                <w:sz w:val="20"/>
                <w:szCs w:val="20"/>
                <w:lang w:eastAsia="it-IT"/>
              </w:rPr>
            </w:pPr>
            <w:r w:rsidRPr="00B94504">
              <w:rPr>
                <w:rFonts w:eastAsia="Times New Roman" w:cstheme="minorHAnsi"/>
                <w:color w:val="000000"/>
                <w:sz w:val="20"/>
                <w:szCs w:val="20"/>
                <w:lang w:eastAsia="it-IT"/>
              </w:rPr>
              <w:t>Sardegna</w:t>
            </w:r>
          </w:p>
        </w:tc>
        <w:tc>
          <w:tcPr>
            <w:tcW w:w="160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95.032.818</w:t>
            </w:r>
          </w:p>
        </w:tc>
        <w:tc>
          <w:tcPr>
            <w:tcW w:w="166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102.507.877</w:t>
            </w:r>
          </w:p>
        </w:tc>
        <w:tc>
          <w:tcPr>
            <w:tcW w:w="172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101.308.908</w:t>
            </w:r>
          </w:p>
        </w:tc>
      </w:tr>
      <w:tr w:rsidR="00B94504" w:rsidRPr="00B94504" w:rsidTr="00F13244">
        <w:trPr>
          <w:trHeight w:val="283"/>
          <w:jc w:val="center"/>
        </w:trPr>
        <w:tc>
          <w:tcPr>
            <w:tcW w:w="1982" w:type="dxa"/>
            <w:tcBorders>
              <w:top w:val="nil"/>
              <w:left w:val="nil"/>
              <w:bottom w:val="nil"/>
              <w:right w:val="nil"/>
            </w:tcBorders>
            <w:shd w:val="clear" w:color="000000" w:fill="FFFFFF"/>
            <w:noWrap/>
            <w:vAlign w:val="center"/>
            <w:hideMark/>
          </w:tcPr>
          <w:p w:rsidR="00B94504" w:rsidRPr="00B94504" w:rsidRDefault="00B94504" w:rsidP="00B94504">
            <w:pPr>
              <w:spacing w:after="0" w:line="240" w:lineRule="auto"/>
              <w:rPr>
                <w:rFonts w:eastAsia="Times New Roman" w:cstheme="minorHAnsi"/>
                <w:color w:val="000000"/>
                <w:sz w:val="20"/>
                <w:szCs w:val="20"/>
                <w:lang w:eastAsia="it-IT"/>
              </w:rPr>
            </w:pPr>
            <w:r w:rsidRPr="00B94504">
              <w:rPr>
                <w:rFonts w:eastAsia="Times New Roman" w:cstheme="minorHAnsi"/>
                <w:color w:val="000000"/>
                <w:sz w:val="20"/>
                <w:szCs w:val="20"/>
                <w:lang w:eastAsia="it-IT"/>
              </w:rPr>
              <w:t>Sicilia</w:t>
            </w:r>
          </w:p>
        </w:tc>
        <w:tc>
          <w:tcPr>
            <w:tcW w:w="160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173.544.956</w:t>
            </w:r>
          </w:p>
        </w:tc>
        <w:tc>
          <w:tcPr>
            <w:tcW w:w="166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145.860.177</w:t>
            </w:r>
          </w:p>
        </w:tc>
        <w:tc>
          <w:tcPr>
            <w:tcW w:w="172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131.396.299</w:t>
            </w:r>
          </w:p>
        </w:tc>
      </w:tr>
      <w:tr w:rsidR="00B94504" w:rsidRPr="00B94504" w:rsidTr="00F13244">
        <w:trPr>
          <w:trHeight w:val="283"/>
          <w:jc w:val="center"/>
        </w:trPr>
        <w:tc>
          <w:tcPr>
            <w:tcW w:w="1982" w:type="dxa"/>
            <w:tcBorders>
              <w:top w:val="nil"/>
              <w:left w:val="nil"/>
              <w:bottom w:val="nil"/>
              <w:right w:val="nil"/>
            </w:tcBorders>
            <w:shd w:val="clear" w:color="000000" w:fill="FFFFFF"/>
            <w:noWrap/>
            <w:vAlign w:val="center"/>
            <w:hideMark/>
          </w:tcPr>
          <w:p w:rsidR="00B94504" w:rsidRPr="00B94504" w:rsidRDefault="00B94504" w:rsidP="00B94504">
            <w:pPr>
              <w:spacing w:after="0" w:line="240" w:lineRule="auto"/>
              <w:rPr>
                <w:rFonts w:eastAsia="Times New Roman" w:cstheme="minorHAnsi"/>
                <w:color w:val="000000"/>
                <w:sz w:val="20"/>
                <w:szCs w:val="20"/>
                <w:lang w:eastAsia="it-IT"/>
              </w:rPr>
            </w:pPr>
            <w:r w:rsidRPr="00B94504">
              <w:rPr>
                <w:rFonts w:eastAsia="Times New Roman" w:cstheme="minorHAnsi"/>
                <w:color w:val="000000"/>
                <w:sz w:val="20"/>
                <w:szCs w:val="20"/>
                <w:lang w:eastAsia="it-IT"/>
              </w:rPr>
              <w:t>Toscana</w:t>
            </w:r>
          </w:p>
        </w:tc>
        <w:tc>
          <w:tcPr>
            <w:tcW w:w="160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59.919.895</w:t>
            </w:r>
          </w:p>
        </w:tc>
        <w:tc>
          <w:tcPr>
            <w:tcW w:w="166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51.032.420</w:t>
            </w:r>
          </w:p>
        </w:tc>
        <w:tc>
          <w:tcPr>
            <w:tcW w:w="172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60.267.827</w:t>
            </w:r>
          </w:p>
        </w:tc>
      </w:tr>
      <w:tr w:rsidR="00B94504" w:rsidRPr="00B94504" w:rsidTr="00F13244">
        <w:trPr>
          <w:trHeight w:val="283"/>
          <w:jc w:val="center"/>
        </w:trPr>
        <w:tc>
          <w:tcPr>
            <w:tcW w:w="1982" w:type="dxa"/>
            <w:tcBorders>
              <w:top w:val="nil"/>
              <w:left w:val="nil"/>
              <w:bottom w:val="nil"/>
              <w:right w:val="nil"/>
            </w:tcBorders>
            <w:shd w:val="clear" w:color="000000" w:fill="FFFFFF"/>
            <w:noWrap/>
            <w:vAlign w:val="center"/>
            <w:hideMark/>
          </w:tcPr>
          <w:p w:rsidR="00B94504" w:rsidRPr="00B94504" w:rsidRDefault="00062E5E" w:rsidP="00B94504">
            <w:pPr>
              <w:spacing w:after="0" w:line="240" w:lineRule="auto"/>
              <w:rPr>
                <w:rFonts w:eastAsia="Times New Roman" w:cstheme="minorHAnsi"/>
                <w:color w:val="000000"/>
                <w:sz w:val="20"/>
                <w:szCs w:val="20"/>
                <w:lang w:eastAsia="it-IT"/>
              </w:rPr>
            </w:pPr>
            <w:r>
              <w:rPr>
                <w:rFonts w:eastAsia="Times New Roman" w:cstheme="minorHAnsi"/>
                <w:color w:val="000000"/>
                <w:sz w:val="20"/>
                <w:szCs w:val="20"/>
                <w:lang w:eastAsia="it-IT"/>
              </w:rPr>
              <w:t>Trentino</w:t>
            </w:r>
            <w:r w:rsidR="00B94504" w:rsidRPr="00B94504">
              <w:rPr>
                <w:rFonts w:eastAsia="Times New Roman" w:cstheme="minorHAnsi"/>
                <w:color w:val="000000"/>
                <w:sz w:val="20"/>
                <w:szCs w:val="20"/>
                <w:lang w:eastAsia="it-IT"/>
              </w:rPr>
              <w:t xml:space="preserve"> Alto Adige</w:t>
            </w:r>
          </w:p>
        </w:tc>
        <w:tc>
          <w:tcPr>
            <w:tcW w:w="160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205.575.796</w:t>
            </w:r>
          </w:p>
        </w:tc>
        <w:tc>
          <w:tcPr>
            <w:tcW w:w="166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218.952.803</w:t>
            </w:r>
          </w:p>
        </w:tc>
        <w:tc>
          <w:tcPr>
            <w:tcW w:w="172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256.953.349</w:t>
            </w:r>
          </w:p>
        </w:tc>
      </w:tr>
      <w:tr w:rsidR="00B94504" w:rsidRPr="00B94504" w:rsidTr="00F13244">
        <w:trPr>
          <w:trHeight w:val="283"/>
          <w:jc w:val="center"/>
        </w:trPr>
        <w:tc>
          <w:tcPr>
            <w:tcW w:w="1982" w:type="dxa"/>
            <w:tcBorders>
              <w:top w:val="nil"/>
              <w:left w:val="nil"/>
              <w:bottom w:val="nil"/>
              <w:right w:val="nil"/>
            </w:tcBorders>
            <w:shd w:val="clear" w:color="000000" w:fill="FFFFFF"/>
            <w:noWrap/>
            <w:vAlign w:val="center"/>
            <w:hideMark/>
          </w:tcPr>
          <w:p w:rsidR="00B94504" w:rsidRPr="00B94504" w:rsidRDefault="00B94504" w:rsidP="00B94504">
            <w:pPr>
              <w:spacing w:after="0" w:line="240" w:lineRule="auto"/>
              <w:rPr>
                <w:rFonts w:eastAsia="Times New Roman" w:cstheme="minorHAnsi"/>
                <w:color w:val="000000"/>
                <w:sz w:val="20"/>
                <w:szCs w:val="20"/>
                <w:lang w:eastAsia="it-IT"/>
              </w:rPr>
            </w:pPr>
            <w:r w:rsidRPr="00B94504">
              <w:rPr>
                <w:rFonts w:eastAsia="Times New Roman" w:cstheme="minorHAnsi"/>
                <w:color w:val="000000"/>
                <w:sz w:val="20"/>
                <w:szCs w:val="20"/>
                <w:lang w:eastAsia="it-IT"/>
              </w:rPr>
              <w:t>Umbria</w:t>
            </w:r>
          </w:p>
        </w:tc>
        <w:tc>
          <w:tcPr>
            <w:tcW w:w="160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29.892.610</w:t>
            </w:r>
          </w:p>
        </w:tc>
        <w:tc>
          <w:tcPr>
            <w:tcW w:w="166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25.542.429</w:t>
            </w:r>
          </w:p>
        </w:tc>
        <w:tc>
          <w:tcPr>
            <w:tcW w:w="172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23.860.947</w:t>
            </w:r>
          </w:p>
        </w:tc>
      </w:tr>
      <w:tr w:rsidR="00B94504" w:rsidRPr="00B94504" w:rsidTr="00F13244">
        <w:trPr>
          <w:trHeight w:val="283"/>
          <w:jc w:val="center"/>
        </w:trPr>
        <w:tc>
          <w:tcPr>
            <w:tcW w:w="1982" w:type="dxa"/>
            <w:tcBorders>
              <w:top w:val="nil"/>
              <w:left w:val="nil"/>
              <w:bottom w:val="nil"/>
              <w:right w:val="nil"/>
            </w:tcBorders>
            <w:shd w:val="clear" w:color="000000" w:fill="FFFFFF"/>
            <w:noWrap/>
            <w:vAlign w:val="center"/>
            <w:hideMark/>
          </w:tcPr>
          <w:p w:rsidR="00B94504" w:rsidRPr="00B94504" w:rsidRDefault="00B94504" w:rsidP="00B94504">
            <w:pPr>
              <w:spacing w:after="0" w:line="240" w:lineRule="auto"/>
              <w:rPr>
                <w:rFonts w:eastAsia="Times New Roman" w:cstheme="minorHAnsi"/>
                <w:color w:val="000000"/>
                <w:sz w:val="20"/>
                <w:szCs w:val="20"/>
                <w:lang w:eastAsia="it-IT"/>
              </w:rPr>
            </w:pPr>
            <w:r w:rsidRPr="00B94504">
              <w:rPr>
                <w:rFonts w:eastAsia="Times New Roman" w:cstheme="minorHAnsi"/>
                <w:color w:val="000000"/>
                <w:sz w:val="20"/>
                <w:szCs w:val="20"/>
                <w:lang w:eastAsia="it-IT"/>
              </w:rPr>
              <w:t>Valle d'Aosta</w:t>
            </w:r>
          </w:p>
        </w:tc>
        <w:tc>
          <w:tcPr>
            <w:tcW w:w="160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proofErr w:type="spellStart"/>
            <w:r w:rsidRPr="00B94504">
              <w:rPr>
                <w:rFonts w:eastAsia="Times New Roman" w:cstheme="minorHAnsi"/>
                <w:color w:val="000000"/>
                <w:sz w:val="20"/>
                <w:szCs w:val="20"/>
                <w:lang w:eastAsia="it-IT"/>
              </w:rPr>
              <w:t>n.d.</w:t>
            </w:r>
            <w:proofErr w:type="spellEnd"/>
          </w:p>
        </w:tc>
        <w:tc>
          <w:tcPr>
            <w:tcW w:w="166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27.294.757</w:t>
            </w:r>
          </w:p>
        </w:tc>
        <w:tc>
          <w:tcPr>
            <w:tcW w:w="172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23.479.143</w:t>
            </w:r>
          </w:p>
        </w:tc>
      </w:tr>
      <w:tr w:rsidR="00B94504" w:rsidRPr="00B94504" w:rsidTr="00F13244">
        <w:trPr>
          <w:trHeight w:val="283"/>
          <w:jc w:val="center"/>
        </w:trPr>
        <w:tc>
          <w:tcPr>
            <w:tcW w:w="1982" w:type="dxa"/>
            <w:tcBorders>
              <w:top w:val="nil"/>
              <w:left w:val="nil"/>
              <w:bottom w:val="nil"/>
              <w:right w:val="nil"/>
            </w:tcBorders>
            <w:shd w:val="clear" w:color="000000" w:fill="FFFFFF"/>
            <w:noWrap/>
            <w:vAlign w:val="center"/>
            <w:hideMark/>
          </w:tcPr>
          <w:p w:rsidR="00B94504" w:rsidRPr="00B94504" w:rsidRDefault="00B94504" w:rsidP="00B94504">
            <w:pPr>
              <w:spacing w:after="0" w:line="240" w:lineRule="auto"/>
              <w:rPr>
                <w:rFonts w:eastAsia="Times New Roman" w:cstheme="minorHAnsi"/>
                <w:color w:val="000000"/>
                <w:sz w:val="20"/>
                <w:szCs w:val="20"/>
                <w:lang w:eastAsia="it-IT"/>
              </w:rPr>
            </w:pPr>
            <w:r w:rsidRPr="00B94504">
              <w:rPr>
                <w:rFonts w:eastAsia="Times New Roman" w:cstheme="minorHAnsi"/>
                <w:color w:val="000000"/>
                <w:sz w:val="20"/>
                <w:szCs w:val="20"/>
                <w:lang w:eastAsia="it-IT"/>
              </w:rPr>
              <w:t>Veneto</w:t>
            </w:r>
          </w:p>
        </w:tc>
        <w:tc>
          <w:tcPr>
            <w:tcW w:w="160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53.790.316</w:t>
            </w:r>
          </w:p>
        </w:tc>
        <w:tc>
          <w:tcPr>
            <w:tcW w:w="166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50.095.728</w:t>
            </w:r>
          </w:p>
        </w:tc>
        <w:tc>
          <w:tcPr>
            <w:tcW w:w="1720" w:type="dxa"/>
            <w:tcBorders>
              <w:top w:val="nil"/>
              <w:left w:val="nil"/>
              <w:bottom w:val="nil"/>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color w:val="000000"/>
                <w:sz w:val="20"/>
                <w:szCs w:val="20"/>
                <w:lang w:eastAsia="it-IT"/>
              </w:rPr>
            </w:pPr>
            <w:r w:rsidRPr="00B94504">
              <w:rPr>
                <w:rFonts w:eastAsia="Times New Roman" w:cstheme="minorHAnsi"/>
                <w:color w:val="000000"/>
                <w:sz w:val="20"/>
                <w:szCs w:val="20"/>
                <w:lang w:eastAsia="it-IT"/>
              </w:rPr>
              <w:t>41.068.269</w:t>
            </w:r>
          </w:p>
        </w:tc>
      </w:tr>
      <w:tr w:rsidR="00B94504" w:rsidRPr="00B94504" w:rsidTr="00F13244">
        <w:trPr>
          <w:trHeight w:val="283"/>
          <w:jc w:val="center"/>
        </w:trPr>
        <w:tc>
          <w:tcPr>
            <w:tcW w:w="1982" w:type="dxa"/>
            <w:tcBorders>
              <w:top w:val="single" w:sz="4" w:space="0" w:color="auto"/>
              <w:left w:val="nil"/>
              <w:bottom w:val="single" w:sz="4" w:space="0" w:color="auto"/>
              <w:right w:val="nil"/>
            </w:tcBorders>
            <w:shd w:val="clear" w:color="000000" w:fill="FFFFFF"/>
            <w:noWrap/>
            <w:vAlign w:val="center"/>
            <w:hideMark/>
          </w:tcPr>
          <w:p w:rsidR="00B94504" w:rsidRPr="00B94504" w:rsidRDefault="00B94504" w:rsidP="00B94504">
            <w:pPr>
              <w:spacing w:after="0" w:line="240" w:lineRule="auto"/>
              <w:rPr>
                <w:rFonts w:eastAsia="Times New Roman" w:cstheme="minorHAnsi"/>
                <w:b/>
                <w:bCs/>
                <w:color w:val="000000"/>
                <w:sz w:val="20"/>
                <w:szCs w:val="20"/>
                <w:lang w:eastAsia="it-IT"/>
              </w:rPr>
            </w:pPr>
            <w:r w:rsidRPr="00B94504">
              <w:rPr>
                <w:rFonts w:eastAsia="Times New Roman" w:cstheme="minorHAnsi"/>
                <w:b/>
                <w:bCs/>
                <w:color w:val="000000"/>
                <w:sz w:val="20"/>
                <w:szCs w:val="20"/>
                <w:lang w:eastAsia="it-IT"/>
              </w:rPr>
              <w:t>Totale</w:t>
            </w:r>
          </w:p>
        </w:tc>
        <w:tc>
          <w:tcPr>
            <w:tcW w:w="1600" w:type="dxa"/>
            <w:tcBorders>
              <w:top w:val="single" w:sz="4" w:space="0" w:color="auto"/>
              <w:left w:val="nil"/>
              <w:bottom w:val="single" w:sz="4" w:space="0" w:color="auto"/>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b/>
                <w:bCs/>
                <w:color w:val="000000"/>
                <w:sz w:val="20"/>
                <w:szCs w:val="20"/>
                <w:lang w:eastAsia="it-IT"/>
              </w:rPr>
            </w:pPr>
            <w:r w:rsidRPr="00B94504">
              <w:rPr>
                <w:rFonts w:eastAsia="Times New Roman" w:cstheme="minorHAnsi"/>
                <w:b/>
                <w:bCs/>
                <w:color w:val="000000"/>
                <w:sz w:val="20"/>
                <w:szCs w:val="20"/>
                <w:lang w:eastAsia="it-IT"/>
              </w:rPr>
              <w:t>€ 1.574.696.893</w:t>
            </w:r>
          </w:p>
        </w:tc>
        <w:tc>
          <w:tcPr>
            <w:tcW w:w="1660" w:type="dxa"/>
            <w:tcBorders>
              <w:top w:val="single" w:sz="4" w:space="0" w:color="auto"/>
              <w:left w:val="nil"/>
              <w:bottom w:val="single" w:sz="4" w:space="0" w:color="auto"/>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b/>
                <w:bCs/>
                <w:color w:val="000000"/>
                <w:sz w:val="20"/>
                <w:szCs w:val="20"/>
                <w:lang w:eastAsia="it-IT"/>
              </w:rPr>
            </w:pPr>
            <w:r w:rsidRPr="00B94504">
              <w:rPr>
                <w:rFonts w:eastAsia="Times New Roman" w:cstheme="minorHAnsi"/>
                <w:b/>
                <w:bCs/>
                <w:color w:val="000000"/>
                <w:sz w:val="20"/>
                <w:szCs w:val="20"/>
                <w:lang w:eastAsia="it-IT"/>
              </w:rPr>
              <w:t>€ 1.472.953.710</w:t>
            </w:r>
          </w:p>
        </w:tc>
        <w:tc>
          <w:tcPr>
            <w:tcW w:w="1720" w:type="dxa"/>
            <w:tcBorders>
              <w:top w:val="single" w:sz="4" w:space="0" w:color="auto"/>
              <w:left w:val="nil"/>
              <w:bottom w:val="single" w:sz="4" w:space="0" w:color="auto"/>
              <w:right w:val="nil"/>
            </w:tcBorders>
            <w:shd w:val="clear" w:color="000000" w:fill="FFFFFF"/>
            <w:vAlign w:val="center"/>
            <w:hideMark/>
          </w:tcPr>
          <w:p w:rsidR="00B94504" w:rsidRPr="00B94504" w:rsidRDefault="00B94504" w:rsidP="00B94504">
            <w:pPr>
              <w:spacing w:after="0" w:line="240" w:lineRule="auto"/>
              <w:jc w:val="right"/>
              <w:rPr>
                <w:rFonts w:eastAsia="Times New Roman" w:cstheme="minorHAnsi"/>
                <w:b/>
                <w:bCs/>
                <w:color w:val="000000"/>
                <w:sz w:val="20"/>
                <w:szCs w:val="20"/>
                <w:lang w:eastAsia="it-IT"/>
              </w:rPr>
            </w:pPr>
            <w:r w:rsidRPr="00B94504">
              <w:rPr>
                <w:rFonts w:eastAsia="Times New Roman" w:cstheme="minorHAnsi"/>
                <w:b/>
                <w:bCs/>
                <w:color w:val="000000"/>
                <w:sz w:val="20"/>
                <w:szCs w:val="20"/>
                <w:lang w:eastAsia="it-IT"/>
              </w:rPr>
              <w:t>€ 1.546.352.895</w:t>
            </w:r>
          </w:p>
        </w:tc>
      </w:tr>
    </w:tbl>
    <w:p w:rsidR="00F13244" w:rsidRDefault="00F13244" w:rsidP="00F13244">
      <w:pPr>
        <w:spacing w:after="0" w:line="240" w:lineRule="auto"/>
        <w:jc w:val="center"/>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 xml:space="preserve">Fonte: </w:t>
      </w:r>
      <w:r w:rsidRPr="00F13244">
        <w:rPr>
          <w:rFonts w:ascii="Calibri" w:eastAsia="Times New Roman" w:hAnsi="Calibri" w:cs="Calibri"/>
          <w:color w:val="000000"/>
          <w:sz w:val="18"/>
          <w:szCs w:val="18"/>
          <w:lang w:eastAsia="it-IT"/>
        </w:rPr>
        <w:t>Open BDAP BANCA DATI AMMINISTRAZIONI PUBBLICHE, Ragioneria Generale dello Stato</w:t>
      </w:r>
    </w:p>
    <w:p w:rsidR="00F13244" w:rsidRPr="00F13244" w:rsidRDefault="00F13244" w:rsidP="00F13244">
      <w:pPr>
        <w:spacing w:after="0" w:line="240" w:lineRule="auto"/>
        <w:jc w:val="center"/>
        <w:rPr>
          <w:rFonts w:ascii="Calibri" w:eastAsia="Times New Roman" w:hAnsi="Calibri" w:cs="Calibri"/>
          <w:color w:val="000000"/>
          <w:sz w:val="18"/>
          <w:szCs w:val="18"/>
          <w:lang w:eastAsia="it-IT"/>
        </w:rPr>
      </w:pPr>
      <w:r w:rsidRPr="00F13244">
        <w:rPr>
          <w:rFonts w:ascii="Calibri" w:eastAsia="Times New Roman" w:hAnsi="Calibri" w:cs="Calibri"/>
          <w:color w:val="000000"/>
          <w:sz w:val="18"/>
          <w:szCs w:val="18"/>
          <w:lang w:eastAsia="it-IT"/>
        </w:rPr>
        <w:t>*Previsioni definitive di competenza, riferimento Documento Contabile: Schemi di Bilancio</w:t>
      </w:r>
    </w:p>
    <w:p w:rsidR="00B449B7" w:rsidRDefault="00B449B7" w:rsidP="00317DB1">
      <w:pPr>
        <w:spacing w:after="0" w:line="276" w:lineRule="auto"/>
        <w:jc w:val="both"/>
        <w:rPr>
          <w:noProof/>
          <w:sz w:val="24"/>
          <w:lang w:eastAsia="it-IT"/>
        </w:rPr>
      </w:pPr>
    </w:p>
    <w:p w:rsidR="001B47F9" w:rsidRDefault="00317DB1" w:rsidP="00317DB1">
      <w:pPr>
        <w:spacing w:after="0" w:line="276" w:lineRule="auto"/>
        <w:jc w:val="both"/>
        <w:rPr>
          <w:noProof/>
          <w:sz w:val="24"/>
          <w:lang w:eastAsia="it-IT"/>
        </w:rPr>
      </w:pPr>
      <w:r>
        <w:rPr>
          <w:noProof/>
          <w:sz w:val="24"/>
          <w:lang w:eastAsia="it-IT"/>
        </w:rPr>
        <w:t>S</w:t>
      </w:r>
      <w:r w:rsidRPr="00317DB1">
        <w:rPr>
          <w:noProof/>
          <w:sz w:val="24"/>
          <w:lang w:eastAsia="it-IT"/>
        </w:rPr>
        <w:t>ul versante delle risorse private, l'</w:t>
      </w:r>
      <w:r w:rsidRPr="001B47F9">
        <w:rPr>
          <w:b/>
          <w:noProof/>
          <w:sz w:val="24"/>
          <w:lang w:eastAsia="it-IT"/>
        </w:rPr>
        <w:t xml:space="preserve">Art bonus </w:t>
      </w:r>
      <w:r w:rsidRPr="00317DB1">
        <w:rPr>
          <w:noProof/>
          <w:sz w:val="24"/>
          <w:lang w:eastAsia="it-IT"/>
        </w:rPr>
        <w:t xml:space="preserve">si è ormai affermato come strumento fondamentale di sostegno e di valorizzazione del patrimonio culturale ad opera di cittadini ed imprese. </w:t>
      </w:r>
    </w:p>
    <w:p w:rsidR="001B47F9" w:rsidRDefault="001B47F9" w:rsidP="00317DB1">
      <w:pPr>
        <w:spacing w:after="0" w:line="276" w:lineRule="auto"/>
        <w:jc w:val="both"/>
        <w:rPr>
          <w:noProof/>
          <w:sz w:val="24"/>
          <w:lang w:eastAsia="it-IT"/>
        </w:rPr>
      </w:pPr>
      <w:r>
        <w:rPr>
          <w:noProof/>
          <w:sz w:val="24"/>
          <w:lang w:eastAsia="it-IT"/>
        </w:rPr>
        <w:lastRenderedPageBreak/>
        <w:t xml:space="preserve">Ben </w:t>
      </w:r>
      <w:r w:rsidRPr="001B47F9">
        <w:rPr>
          <w:b/>
          <w:noProof/>
          <w:sz w:val="24"/>
          <w:lang w:eastAsia="it-IT"/>
        </w:rPr>
        <w:t>12.871 mecenati</w:t>
      </w:r>
      <w:r>
        <w:rPr>
          <w:noProof/>
          <w:sz w:val="24"/>
          <w:lang w:eastAsia="it-IT"/>
        </w:rPr>
        <w:t xml:space="preserve"> (ad ottobre 2019)</w:t>
      </w:r>
      <w:r w:rsidR="00317DB1" w:rsidRPr="00317DB1">
        <w:rPr>
          <w:noProof/>
          <w:sz w:val="24"/>
          <w:lang w:eastAsia="it-IT"/>
        </w:rPr>
        <w:t xml:space="preserve"> hanno superato i </w:t>
      </w:r>
      <w:r w:rsidR="00317DB1" w:rsidRPr="001B47F9">
        <w:rPr>
          <w:b/>
          <w:noProof/>
          <w:sz w:val="24"/>
          <w:lang w:eastAsia="it-IT"/>
        </w:rPr>
        <w:t>3</w:t>
      </w:r>
      <w:r w:rsidRPr="001B47F9">
        <w:rPr>
          <w:b/>
          <w:noProof/>
          <w:sz w:val="24"/>
          <w:lang w:eastAsia="it-IT"/>
        </w:rPr>
        <w:t>90</w:t>
      </w:r>
      <w:r w:rsidR="00317DB1" w:rsidRPr="001B47F9">
        <w:rPr>
          <w:b/>
          <w:noProof/>
          <w:sz w:val="24"/>
          <w:lang w:eastAsia="it-IT"/>
        </w:rPr>
        <w:t xml:space="preserve"> milioni di euro in donazioni</w:t>
      </w:r>
      <w:r w:rsidR="00317DB1" w:rsidRPr="00317DB1">
        <w:rPr>
          <w:noProof/>
          <w:sz w:val="24"/>
          <w:lang w:eastAsia="it-IT"/>
        </w:rPr>
        <w:t xml:space="preserve"> destinati a intervenire in favore di musei, monumenti, sti archeologici e fondazioni lirico sinfoniche sparse in tutta la Penisola. </w:t>
      </w:r>
    </w:p>
    <w:p w:rsidR="00A22DF7" w:rsidRPr="00D51F2E" w:rsidRDefault="00A22DF7" w:rsidP="00A22DF7">
      <w:pPr>
        <w:spacing w:after="120" w:line="276" w:lineRule="auto"/>
        <w:jc w:val="both"/>
        <w:rPr>
          <w:noProof/>
          <w:sz w:val="24"/>
          <w:lang w:eastAsia="it-IT"/>
        </w:rPr>
      </w:pPr>
      <w:r w:rsidRPr="00D51F2E">
        <w:rPr>
          <w:noProof/>
          <w:sz w:val="24"/>
          <w:lang w:eastAsia="it-IT"/>
        </w:rPr>
        <w:t xml:space="preserve">La ripartizione tra le tipologie di mecenati che hanno effettuato erogazioni liberali beneficiando dell'Art bonus denota una </w:t>
      </w:r>
      <w:r w:rsidRPr="00D51F2E">
        <w:rPr>
          <w:b/>
          <w:noProof/>
          <w:sz w:val="24"/>
          <w:lang w:eastAsia="it-IT"/>
        </w:rPr>
        <w:t>grande partecipazione di privati cittadini (quasi il 60%)</w:t>
      </w:r>
      <w:r w:rsidRPr="00D51F2E">
        <w:rPr>
          <w:noProof/>
          <w:sz w:val="24"/>
          <w:lang w:eastAsia="it-IT"/>
        </w:rPr>
        <w:t xml:space="preserve"> anche se l'impatto economico prevalente è determinato dalle donazioni di imprese e fondazioni bancarie.</w:t>
      </w:r>
    </w:p>
    <w:p w:rsidR="00A22DF7" w:rsidRPr="001B47F9" w:rsidRDefault="00A22DF7" w:rsidP="00A22DF7">
      <w:pPr>
        <w:spacing w:after="0" w:line="276" w:lineRule="auto"/>
        <w:jc w:val="center"/>
        <w:rPr>
          <w:b/>
          <w:noProof/>
          <w:lang w:eastAsia="it-IT"/>
        </w:rPr>
      </w:pPr>
      <w:r w:rsidRPr="001B47F9">
        <w:rPr>
          <w:b/>
          <w:noProof/>
          <w:lang w:eastAsia="it-IT"/>
        </w:rPr>
        <w:t xml:space="preserve">Art bonus, erogazioni </w:t>
      </w:r>
      <w:r>
        <w:rPr>
          <w:b/>
          <w:noProof/>
          <w:lang w:eastAsia="it-IT"/>
        </w:rPr>
        <w:t>e</w:t>
      </w:r>
      <w:r w:rsidRPr="001B47F9">
        <w:rPr>
          <w:b/>
          <w:noProof/>
          <w:lang w:eastAsia="it-IT"/>
        </w:rPr>
        <w:t xml:space="preserve"> tipologia di mecenate</w:t>
      </w:r>
      <w:r w:rsidRPr="001B47F9">
        <w:rPr>
          <w:noProof/>
          <w:lang w:eastAsia="it-IT"/>
        </w:rPr>
        <w:t>, 2019</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215"/>
        <w:gridCol w:w="2268"/>
      </w:tblGrid>
      <w:tr w:rsidR="00A22DF7" w:rsidRPr="001B47F9" w:rsidTr="00D943E2">
        <w:trPr>
          <w:jc w:val="center"/>
        </w:trPr>
        <w:tc>
          <w:tcPr>
            <w:tcW w:w="2463" w:type="dxa"/>
            <w:tcBorders>
              <w:top w:val="single" w:sz="4" w:space="0" w:color="auto"/>
              <w:bottom w:val="single" w:sz="4" w:space="0" w:color="auto"/>
            </w:tcBorders>
          </w:tcPr>
          <w:p w:rsidR="00A22DF7" w:rsidRPr="001B47F9" w:rsidRDefault="00A22DF7" w:rsidP="00D943E2">
            <w:pPr>
              <w:spacing w:line="276" w:lineRule="auto"/>
              <w:jc w:val="both"/>
              <w:rPr>
                <w:b/>
                <w:noProof/>
                <w:lang w:eastAsia="it-IT"/>
              </w:rPr>
            </w:pPr>
            <w:r w:rsidRPr="001B47F9">
              <w:rPr>
                <w:b/>
                <w:noProof/>
                <w:lang w:eastAsia="it-IT"/>
              </w:rPr>
              <w:t>Tipologia mecenate</w:t>
            </w:r>
          </w:p>
        </w:tc>
        <w:tc>
          <w:tcPr>
            <w:tcW w:w="2215" w:type="dxa"/>
            <w:tcBorders>
              <w:top w:val="single" w:sz="4" w:space="0" w:color="auto"/>
              <w:bottom w:val="single" w:sz="4" w:space="0" w:color="auto"/>
            </w:tcBorders>
          </w:tcPr>
          <w:p w:rsidR="00A22DF7" w:rsidRPr="001B47F9" w:rsidRDefault="00A22DF7" w:rsidP="00D943E2">
            <w:pPr>
              <w:spacing w:line="276" w:lineRule="auto"/>
              <w:jc w:val="right"/>
              <w:rPr>
                <w:b/>
                <w:noProof/>
                <w:lang w:eastAsia="it-IT"/>
              </w:rPr>
            </w:pPr>
            <w:r w:rsidRPr="001B47F9">
              <w:rPr>
                <w:b/>
                <w:noProof/>
                <w:lang w:eastAsia="it-IT"/>
              </w:rPr>
              <w:t>Numero</w:t>
            </w:r>
          </w:p>
        </w:tc>
        <w:tc>
          <w:tcPr>
            <w:tcW w:w="2268" w:type="dxa"/>
            <w:tcBorders>
              <w:top w:val="single" w:sz="4" w:space="0" w:color="auto"/>
              <w:bottom w:val="single" w:sz="4" w:space="0" w:color="auto"/>
            </w:tcBorders>
          </w:tcPr>
          <w:p w:rsidR="00A22DF7" w:rsidRPr="001B47F9" w:rsidRDefault="00A22DF7" w:rsidP="00D943E2">
            <w:pPr>
              <w:spacing w:line="276" w:lineRule="auto"/>
              <w:jc w:val="right"/>
              <w:rPr>
                <w:b/>
                <w:noProof/>
                <w:lang w:eastAsia="it-IT"/>
              </w:rPr>
            </w:pPr>
            <w:r w:rsidRPr="001B47F9">
              <w:rPr>
                <w:b/>
                <w:noProof/>
                <w:lang w:eastAsia="it-IT"/>
              </w:rPr>
              <w:t>Erogazioni</w:t>
            </w:r>
            <w:r w:rsidRPr="001B47F9">
              <w:rPr>
                <w:i/>
                <w:noProof/>
                <w:lang w:eastAsia="it-IT"/>
              </w:rPr>
              <w:t xml:space="preserve"> (euro)</w:t>
            </w:r>
          </w:p>
        </w:tc>
      </w:tr>
      <w:tr w:rsidR="00A22DF7" w:rsidRPr="001B47F9" w:rsidTr="00D943E2">
        <w:trPr>
          <w:jc w:val="center"/>
        </w:trPr>
        <w:tc>
          <w:tcPr>
            <w:tcW w:w="2463" w:type="dxa"/>
            <w:tcBorders>
              <w:top w:val="single" w:sz="4" w:space="0" w:color="auto"/>
            </w:tcBorders>
          </w:tcPr>
          <w:p w:rsidR="00A22DF7" w:rsidRPr="001B47F9" w:rsidRDefault="00A22DF7" w:rsidP="00D943E2">
            <w:pPr>
              <w:spacing w:line="276" w:lineRule="auto"/>
              <w:jc w:val="both"/>
              <w:rPr>
                <w:noProof/>
                <w:lang w:eastAsia="it-IT"/>
              </w:rPr>
            </w:pPr>
            <w:r w:rsidRPr="001B47F9">
              <w:rPr>
                <w:noProof/>
                <w:lang w:eastAsia="it-IT"/>
              </w:rPr>
              <w:t>Persone fisiche</w:t>
            </w:r>
          </w:p>
        </w:tc>
        <w:tc>
          <w:tcPr>
            <w:tcW w:w="2215" w:type="dxa"/>
            <w:tcBorders>
              <w:top w:val="single" w:sz="4" w:space="0" w:color="auto"/>
            </w:tcBorders>
          </w:tcPr>
          <w:p w:rsidR="00A22DF7" w:rsidRPr="001B47F9" w:rsidRDefault="00A22DF7" w:rsidP="00D943E2">
            <w:pPr>
              <w:spacing w:line="276" w:lineRule="auto"/>
              <w:jc w:val="right"/>
              <w:rPr>
                <w:noProof/>
                <w:lang w:eastAsia="it-IT"/>
              </w:rPr>
            </w:pPr>
            <w:r>
              <w:rPr>
                <w:noProof/>
                <w:lang w:eastAsia="it-IT"/>
              </w:rPr>
              <w:t>7.405</w:t>
            </w:r>
          </w:p>
        </w:tc>
        <w:tc>
          <w:tcPr>
            <w:tcW w:w="2268" w:type="dxa"/>
            <w:tcBorders>
              <w:top w:val="single" w:sz="4" w:space="0" w:color="auto"/>
            </w:tcBorders>
          </w:tcPr>
          <w:p w:rsidR="00A22DF7" w:rsidRPr="001B47F9" w:rsidRDefault="00A22DF7" w:rsidP="00D943E2">
            <w:pPr>
              <w:spacing w:line="276" w:lineRule="auto"/>
              <w:jc w:val="right"/>
              <w:rPr>
                <w:noProof/>
                <w:lang w:eastAsia="it-IT"/>
              </w:rPr>
            </w:pPr>
            <w:r>
              <w:rPr>
                <w:noProof/>
                <w:lang w:eastAsia="it-IT"/>
              </w:rPr>
              <w:t>17.465.013</w:t>
            </w:r>
            <w:r w:rsidRPr="001B47F9">
              <w:rPr>
                <w:noProof/>
                <w:lang w:eastAsia="it-IT"/>
              </w:rPr>
              <w:t xml:space="preserve"> </w:t>
            </w:r>
          </w:p>
        </w:tc>
      </w:tr>
      <w:tr w:rsidR="00A22DF7" w:rsidRPr="001B47F9" w:rsidTr="00D943E2">
        <w:trPr>
          <w:jc w:val="center"/>
        </w:trPr>
        <w:tc>
          <w:tcPr>
            <w:tcW w:w="2463" w:type="dxa"/>
          </w:tcPr>
          <w:p w:rsidR="00A22DF7" w:rsidRPr="001B47F9" w:rsidRDefault="00A22DF7" w:rsidP="00D943E2">
            <w:pPr>
              <w:spacing w:line="276" w:lineRule="auto"/>
              <w:jc w:val="both"/>
              <w:rPr>
                <w:noProof/>
                <w:lang w:eastAsia="it-IT"/>
              </w:rPr>
            </w:pPr>
            <w:r w:rsidRPr="001B47F9">
              <w:rPr>
                <w:noProof/>
                <w:lang w:eastAsia="it-IT"/>
              </w:rPr>
              <w:t>Enti</w:t>
            </w:r>
          </w:p>
        </w:tc>
        <w:tc>
          <w:tcPr>
            <w:tcW w:w="2215" w:type="dxa"/>
          </w:tcPr>
          <w:p w:rsidR="00A22DF7" w:rsidRPr="001B47F9" w:rsidRDefault="00A22DF7" w:rsidP="00D943E2">
            <w:pPr>
              <w:spacing w:line="276" w:lineRule="auto"/>
              <w:jc w:val="right"/>
              <w:rPr>
                <w:noProof/>
                <w:lang w:eastAsia="it-IT"/>
              </w:rPr>
            </w:pPr>
            <w:r>
              <w:rPr>
                <w:noProof/>
                <w:lang w:eastAsia="it-IT"/>
              </w:rPr>
              <w:t>1.843</w:t>
            </w:r>
          </w:p>
        </w:tc>
        <w:tc>
          <w:tcPr>
            <w:tcW w:w="2268" w:type="dxa"/>
          </w:tcPr>
          <w:p w:rsidR="00A22DF7" w:rsidRPr="001B47F9" w:rsidRDefault="00A22DF7" w:rsidP="00D943E2">
            <w:pPr>
              <w:spacing w:line="276" w:lineRule="auto"/>
              <w:jc w:val="right"/>
              <w:rPr>
                <w:noProof/>
                <w:lang w:eastAsia="it-IT"/>
              </w:rPr>
            </w:pPr>
            <w:r>
              <w:rPr>
                <w:noProof/>
                <w:lang w:eastAsia="it-IT"/>
              </w:rPr>
              <w:t>193.540.670</w:t>
            </w:r>
          </w:p>
        </w:tc>
      </w:tr>
      <w:tr w:rsidR="00A22DF7" w:rsidRPr="001B47F9" w:rsidTr="00D943E2">
        <w:trPr>
          <w:jc w:val="center"/>
        </w:trPr>
        <w:tc>
          <w:tcPr>
            <w:tcW w:w="2463" w:type="dxa"/>
            <w:tcBorders>
              <w:bottom w:val="single" w:sz="4" w:space="0" w:color="auto"/>
            </w:tcBorders>
          </w:tcPr>
          <w:p w:rsidR="00A22DF7" w:rsidRPr="001B47F9" w:rsidRDefault="00A22DF7" w:rsidP="00D943E2">
            <w:pPr>
              <w:spacing w:line="276" w:lineRule="auto"/>
              <w:jc w:val="both"/>
              <w:rPr>
                <w:noProof/>
                <w:lang w:eastAsia="it-IT"/>
              </w:rPr>
            </w:pPr>
            <w:r w:rsidRPr="001B47F9">
              <w:rPr>
                <w:noProof/>
                <w:lang w:eastAsia="it-IT"/>
              </w:rPr>
              <w:t>Imprese</w:t>
            </w:r>
          </w:p>
        </w:tc>
        <w:tc>
          <w:tcPr>
            <w:tcW w:w="2215" w:type="dxa"/>
            <w:tcBorders>
              <w:bottom w:val="single" w:sz="4" w:space="0" w:color="auto"/>
            </w:tcBorders>
          </w:tcPr>
          <w:p w:rsidR="00A22DF7" w:rsidRPr="001B47F9" w:rsidRDefault="00A22DF7" w:rsidP="00D943E2">
            <w:pPr>
              <w:spacing w:line="276" w:lineRule="auto"/>
              <w:jc w:val="right"/>
              <w:rPr>
                <w:noProof/>
                <w:lang w:eastAsia="it-IT"/>
              </w:rPr>
            </w:pPr>
            <w:r w:rsidRPr="001B47F9">
              <w:rPr>
                <w:noProof/>
                <w:lang w:eastAsia="it-IT"/>
              </w:rPr>
              <w:t>3.623</w:t>
            </w:r>
          </w:p>
        </w:tc>
        <w:tc>
          <w:tcPr>
            <w:tcW w:w="2268" w:type="dxa"/>
            <w:tcBorders>
              <w:bottom w:val="single" w:sz="4" w:space="0" w:color="auto"/>
            </w:tcBorders>
          </w:tcPr>
          <w:p w:rsidR="00A22DF7" w:rsidRPr="001B47F9" w:rsidRDefault="00A22DF7" w:rsidP="00D943E2">
            <w:pPr>
              <w:spacing w:line="276" w:lineRule="auto"/>
              <w:jc w:val="right"/>
              <w:rPr>
                <w:noProof/>
                <w:lang w:eastAsia="it-IT"/>
              </w:rPr>
            </w:pPr>
            <w:r>
              <w:rPr>
                <w:noProof/>
                <w:lang w:eastAsia="it-IT"/>
              </w:rPr>
              <w:t>179.315.630</w:t>
            </w:r>
          </w:p>
        </w:tc>
      </w:tr>
    </w:tbl>
    <w:p w:rsidR="00A22DF7" w:rsidRPr="00E0570C" w:rsidRDefault="00A22DF7" w:rsidP="00A22DF7">
      <w:pPr>
        <w:spacing w:after="0" w:line="276" w:lineRule="auto"/>
        <w:jc w:val="center"/>
        <w:rPr>
          <w:noProof/>
          <w:sz w:val="18"/>
          <w:lang w:eastAsia="it-IT"/>
        </w:rPr>
      </w:pPr>
      <w:r w:rsidRPr="00E0570C">
        <w:rPr>
          <w:noProof/>
          <w:sz w:val="18"/>
          <w:lang w:eastAsia="it-IT"/>
        </w:rPr>
        <w:t>Fonte: Ales</w:t>
      </w:r>
      <w:r w:rsidR="00D943E2">
        <w:rPr>
          <w:noProof/>
          <w:sz w:val="18"/>
          <w:lang w:eastAsia="it-IT"/>
        </w:rPr>
        <w:t xml:space="preserve"> Spa</w:t>
      </w:r>
    </w:p>
    <w:p w:rsidR="00A22DF7" w:rsidRDefault="00A22DF7" w:rsidP="00A22DF7">
      <w:pPr>
        <w:spacing w:after="0" w:line="276" w:lineRule="auto"/>
        <w:jc w:val="both"/>
        <w:rPr>
          <w:noProof/>
          <w:lang w:eastAsia="it-IT"/>
        </w:rPr>
      </w:pPr>
    </w:p>
    <w:p w:rsidR="00B449B7" w:rsidRDefault="00A22DF7" w:rsidP="00D943E2">
      <w:pPr>
        <w:spacing w:after="120" w:line="276" w:lineRule="auto"/>
        <w:jc w:val="both"/>
        <w:rPr>
          <w:noProof/>
          <w:sz w:val="24"/>
          <w:lang w:eastAsia="it-IT"/>
        </w:rPr>
      </w:pPr>
      <w:r w:rsidRPr="00317DB1">
        <w:rPr>
          <w:noProof/>
          <w:sz w:val="24"/>
          <w:lang w:eastAsia="it-IT"/>
        </w:rPr>
        <w:t>Come negli anni precedenti si rileva ancora, però, una forte territorializzazione dello strumento, che viene utilizzato prevalente</w:t>
      </w:r>
      <w:r w:rsidR="00062E5E">
        <w:rPr>
          <w:noProof/>
          <w:sz w:val="24"/>
          <w:lang w:eastAsia="it-IT"/>
        </w:rPr>
        <w:t>mente</w:t>
      </w:r>
      <w:r w:rsidRPr="00317DB1">
        <w:rPr>
          <w:noProof/>
          <w:sz w:val="24"/>
          <w:lang w:eastAsia="it-IT"/>
        </w:rPr>
        <w:t xml:space="preserve"> nelle regioni del Nord; basti pensare che </w:t>
      </w:r>
      <w:r w:rsidRPr="00B76040">
        <w:rPr>
          <w:b/>
          <w:noProof/>
          <w:sz w:val="24"/>
          <w:lang w:eastAsia="it-IT"/>
        </w:rPr>
        <w:t>nelle prime quattro per donazioni ricevute, Lombardia, Piemonte, Veneto ed Emilia Romagna si concentra il 77% delle risorse</w:t>
      </w:r>
      <w:r w:rsidRPr="00317DB1">
        <w:rPr>
          <w:noProof/>
          <w:sz w:val="24"/>
          <w:lang w:eastAsia="it-IT"/>
        </w:rPr>
        <w:t xml:space="preserve">. </w:t>
      </w:r>
    </w:p>
    <w:p w:rsidR="00D943E2" w:rsidRDefault="00D943E2" w:rsidP="00D943E2">
      <w:pPr>
        <w:spacing w:after="0" w:line="276" w:lineRule="auto"/>
        <w:jc w:val="center"/>
        <w:rPr>
          <w:noProof/>
          <w:sz w:val="24"/>
          <w:lang w:eastAsia="it-IT"/>
        </w:rPr>
      </w:pPr>
      <w:r w:rsidRPr="00D943E2">
        <w:rPr>
          <w:b/>
          <w:noProof/>
          <w:sz w:val="24"/>
          <w:lang w:eastAsia="it-IT"/>
        </w:rPr>
        <w:t>Art bonus, erogazioni per regione</w:t>
      </w:r>
      <w:r>
        <w:rPr>
          <w:noProof/>
          <w:sz w:val="24"/>
          <w:lang w:eastAsia="it-IT"/>
        </w:rPr>
        <w:t xml:space="preserve"> </w:t>
      </w:r>
      <w:r w:rsidRPr="00D943E2">
        <w:rPr>
          <w:i/>
          <w:noProof/>
          <w:sz w:val="24"/>
          <w:lang w:eastAsia="it-IT"/>
        </w:rPr>
        <w:t>(euro)</w:t>
      </w:r>
    </w:p>
    <w:tbl>
      <w:tblPr>
        <w:tblW w:w="8747" w:type="dxa"/>
        <w:jc w:val="center"/>
        <w:tblCellMar>
          <w:left w:w="70" w:type="dxa"/>
          <w:right w:w="70" w:type="dxa"/>
        </w:tblCellMar>
        <w:tblLook w:val="04A0" w:firstRow="1" w:lastRow="0" w:firstColumn="1" w:lastColumn="0" w:noHBand="0" w:noVBand="1"/>
      </w:tblPr>
      <w:tblGrid>
        <w:gridCol w:w="1987"/>
        <w:gridCol w:w="1420"/>
        <w:gridCol w:w="1840"/>
        <w:gridCol w:w="1600"/>
        <w:gridCol w:w="1900"/>
      </w:tblGrid>
      <w:tr w:rsidR="00D943E2" w:rsidRPr="00D943E2" w:rsidTr="00882372">
        <w:trPr>
          <w:trHeight w:val="300"/>
          <w:jc w:val="center"/>
        </w:trPr>
        <w:tc>
          <w:tcPr>
            <w:tcW w:w="1987" w:type="dxa"/>
            <w:tcBorders>
              <w:top w:val="single" w:sz="4" w:space="0" w:color="auto"/>
              <w:left w:val="nil"/>
              <w:bottom w:val="single" w:sz="4" w:space="0" w:color="auto"/>
              <w:right w:val="nil"/>
            </w:tcBorders>
            <w:shd w:val="clear" w:color="000000" w:fill="FFFFFF"/>
            <w:noWrap/>
            <w:vAlign w:val="center"/>
            <w:hideMark/>
          </w:tcPr>
          <w:p w:rsidR="00D943E2" w:rsidRPr="00D943E2" w:rsidRDefault="00D943E2" w:rsidP="00D943E2">
            <w:pPr>
              <w:spacing w:after="0" w:line="240" w:lineRule="auto"/>
              <w:jc w:val="center"/>
              <w:rPr>
                <w:rFonts w:eastAsia="Times New Roman" w:cstheme="minorHAnsi"/>
                <w:b/>
                <w:bCs/>
                <w:color w:val="000000"/>
                <w:sz w:val="20"/>
                <w:szCs w:val="20"/>
                <w:lang w:eastAsia="it-IT"/>
              </w:rPr>
            </w:pPr>
          </w:p>
        </w:tc>
        <w:tc>
          <w:tcPr>
            <w:tcW w:w="1420" w:type="dxa"/>
            <w:tcBorders>
              <w:top w:val="single" w:sz="4" w:space="0" w:color="auto"/>
              <w:left w:val="nil"/>
              <w:bottom w:val="single" w:sz="4" w:space="0" w:color="auto"/>
              <w:right w:val="nil"/>
            </w:tcBorders>
            <w:shd w:val="clear" w:color="000000" w:fill="FFFFFF"/>
            <w:vAlign w:val="bottom"/>
            <w:hideMark/>
          </w:tcPr>
          <w:p w:rsidR="00D943E2" w:rsidRPr="00D943E2" w:rsidRDefault="00D943E2" w:rsidP="00D943E2">
            <w:pPr>
              <w:spacing w:after="0" w:line="240" w:lineRule="auto"/>
              <w:jc w:val="center"/>
              <w:rPr>
                <w:rFonts w:eastAsia="Times New Roman" w:cstheme="minorHAnsi"/>
                <w:b/>
                <w:bCs/>
                <w:i/>
                <w:iCs/>
                <w:color w:val="000000"/>
                <w:sz w:val="20"/>
                <w:szCs w:val="20"/>
                <w:lang w:eastAsia="it-IT"/>
              </w:rPr>
            </w:pPr>
            <w:r w:rsidRPr="00D943E2">
              <w:rPr>
                <w:rFonts w:eastAsia="Times New Roman" w:cstheme="minorHAnsi"/>
                <w:b/>
                <w:bCs/>
                <w:i/>
                <w:iCs/>
                <w:color w:val="000000"/>
                <w:sz w:val="20"/>
                <w:szCs w:val="20"/>
                <w:lang w:eastAsia="it-IT"/>
              </w:rPr>
              <w:t>2016*</w:t>
            </w:r>
          </w:p>
        </w:tc>
        <w:tc>
          <w:tcPr>
            <w:tcW w:w="1840" w:type="dxa"/>
            <w:tcBorders>
              <w:top w:val="single" w:sz="4" w:space="0" w:color="auto"/>
              <w:left w:val="nil"/>
              <w:bottom w:val="single" w:sz="4" w:space="0" w:color="auto"/>
              <w:right w:val="nil"/>
            </w:tcBorders>
            <w:shd w:val="clear" w:color="000000" w:fill="FFFFFF"/>
            <w:vAlign w:val="bottom"/>
            <w:hideMark/>
          </w:tcPr>
          <w:p w:rsidR="00D943E2" w:rsidRPr="00D943E2" w:rsidRDefault="00D943E2" w:rsidP="00D943E2">
            <w:pPr>
              <w:spacing w:after="0" w:line="240" w:lineRule="auto"/>
              <w:jc w:val="center"/>
              <w:rPr>
                <w:rFonts w:eastAsia="Times New Roman" w:cstheme="minorHAnsi"/>
                <w:b/>
                <w:bCs/>
                <w:i/>
                <w:iCs/>
                <w:color w:val="000000"/>
                <w:sz w:val="20"/>
                <w:szCs w:val="20"/>
                <w:lang w:eastAsia="it-IT"/>
              </w:rPr>
            </w:pPr>
            <w:r w:rsidRPr="00D943E2">
              <w:rPr>
                <w:rFonts w:eastAsia="Times New Roman" w:cstheme="minorHAnsi"/>
                <w:b/>
                <w:bCs/>
                <w:i/>
                <w:iCs/>
                <w:color w:val="000000"/>
                <w:sz w:val="20"/>
                <w:szCs w:val="20"/>
                <w:lang w:eastAsia="it-IT"/>
              </w:rPr>
              <w:t>2017*</w:t>
            </w:r>
          </w:p>
        </w:tc>
        <w:tc>
          <w:tcPr>
            <w:tcW w:w="1600" w:type="dxa"/>
            <w:tcBorders>
              <w:top w:val="single" w:sz="4" w:space="0" w:color="auto"/>
              <w:left w:val="nil"/>
              <w:bottom w:val="single" w:sz="4" w:space="0" w:color="auto"/>
              <w:right w:val="nil"/>
            </w:tcBorders>
            <w:shd w:val="clear" w:color="000000" w:fill="FFFFFF"/>
            <w:vAlign w:val="bottom"/>
            <w:hideMark/>
          </w:tcPr>
          <w:p w:rsidR="00D943E2" w:rsidRPr="00D943E2" w:rsidRDefault="00D943E2" w:rsidP="00D943E2">
            <w:pPr>
              <w:spacing w:after="0" w:line="240" w:lineRule="auto"/>
              <w:jc w:val="center"/>
              <w:rPr>
                <w:rFonts w:eastAsia="Times New Roman" w:cstheme="minorHAnsi"/>
                <w:b/>
                <w:bCs/>
                <w:i/>
                <w:iCs/>
                <w:color w:val="000000"/>
                <w:sz w:val="20"/>
                <w:szCs w:val="20"/>
                <w:lang w:eastAsia="it-IT"/>
              </w:rPr>
            </w:pPr>
            <w:r w:rsidRPr="00D943E2">
              <w:rPr>
                <w:rFonts w:eastAsia="Times New Roman" w:cstheme="minorHAnsi"/>
                <w:b/>
                <w:bCs/>
                <w:i/>
                <w:iCs/>
                <w:color w:val="000000"/>
                <w:sz w:val="20"/>
                <w:szCs w:val="20"/>
                <w:lang w:eastAsia="it-IT"/>
              </w:rPr>
              <w:t>2018**</w:t>
            </w:r>
          </w:p>
        </w:tc>
        <w:tc>
          <w:tcPr>
            <w:tcW w:w="1900" w:type="dxa"/>
            <w:tcBorders>
              <w:top w:val="single" w:sz="4" w:space="0" w:color="auto"/>
              <w:left w:val="nil"/>
              <w:bottom w:val="single" w:sz="4" w:space="0" w:color="auto"/>
              <w:right w:val="nil"/>
            </w:tcBorders>
            <w:shd w:val="clear" w:color="000000" w:fill="FFFFFF"/>
            <w:vAlign w:val="bottom"/>
            <w:hideMark/>
          </w:tcPr>
          <w:p w:rsidR="00D943E2" w:rsidRPr="00D943E2" w:rsidRDefault="00D943E2" w:rsidP="00D943E2">
            <w:pPr>
              <w:spacing w:after="0" w:line="240" w:lineRule="auto"/>
              <w:jc w:val="center"/>
              <w:rPr>
                <w:rFonts w:eastAsia="Times New Roman" w:cstheme="minorHAnsi"/>
                <w:b/>
                <w:bCs/>
                <w:i/>
                <w:iCs/>
                <w:color w:val="000000"/>
                <w:sz w:val="20"/>
                <w:szCs w:val="20"/>
                <w:lang w:eastAsia="it-IT"/>
              </w:rPr>
            </w:pPr>
            <w:r w:rsidRPr="00D943E2">
              <w:rPr>
                <w:rFonts w:eastAsia="Times New Roman" w:cstheme="minorHAnsi"/>
                <w:b/>
                <w:bCs/>
                <w:i/>
                <w:iCs/>
                <w:color w:val="000000"/>
                <w:sz w:val="20"/>
                <w:szCs w:val="20"/>
                <w:lang w:eastAsia="it-IT"/>
              </w:rPr>
              <w:t>2019**</w:t>
            </w:r>
          </w:p>
        </w:tc>
      </w:tr>
      <w:tr w:rsidR="00B2363D" w:rsidRPr="009E4723" w:rsidTr="00882372">
        <w:trPr>
          <w:trHeight w:val="300"/>
          <w:jc w:val="center"/>
        </w:trPr>
        <w:tc>
          <w:tcPr>
            <w:tcW w:w="1987" w:type="dxa"/>
            <w:tcBorders>
              <w:top w:val="single" w:sz="4" w:space="0" w:color="auto"/>
              <w:left w:val="nil"/>
              <w:bottom w:val="nil"/>
              <w:right w:val="nil"/>
            </w:tcBorders>
            <w:shd w:val="clear" w:color="000000" w:fill="FFFFFF"/>
            <w:vAlign w:val="center"/>
            <w:hideMark/>
          </w:tcPr>
          <w:p w:rsidR="00D943E2" w:rsidRPr="009E4723" w:rsidRDefault="00D943E2" w:rsidP="00D943E2">
            <w:pPr>
              <w:spacing w:after="0" w:line="240" w:lineRule="auto"/>
              <w:rPr>
                <w:rFonts w:eastAsia="Times New Roman" w:cstheme="minorHAnsi"/>
                <w:sz w:val="20"/>
                <w:szCs w:val="20"/>
                <w:lang w:eastAsia="it-IT"/>
              </w:rPr>
            </w:pPr>
            <w:r w:rsidRPr="009E4723">
              <w:rPr>
                <w:rFonts w:eastAsia="Times New Roman" w:cstheme="minorHAnsi"/>
                <w:sz w:val="20"/>
                <w:szCs w:val="20"/>
                <w:lang w:eastAsia="it-IT"/>
              </w:rPr>
              <w:t>Lombardia</w:t>
            </w:r>
          </w:p>
        </w:tc>
        <w:tc>
          <w:tcPr>
            <w:tcW w:w="1420" w:type="dxa"/>
            <w:tcBorders>
              <w:top w:val="single" w:sz="4" w:space="0" w:color="auto"/>
              <w:left w:val="nil"/>
              <w:bottom w:val="nil"/>
              <w:right w:val="nil"/>
            </w:tcBorders>
            <w:shd w:val="clear" w:color="000000" w:fill="FFFFFF"/>
            <w:noWrap/>
            <w:vAlign w:val="bottom"/>
            <w:hideMark/>
          </w:tcPr>
          <w:p w:rsidR="00D943E2" w:rsidRPr="009E4723" w:rsidRDefault="00D943E2" w:rsidP="00D943E2">
            <w:pPr>
              <w:spacing w:after="0" w:line="240" w:lineRule="auto"/>
              <w:jc w:val="right"/>
              <w:rPr>
                <w:rFonts w:eastAsia="Times New Roman" w:cstheme="minorHAnsi"/>
                <w:sz w:val="20"/>
                <w:szCs w:val="20"/>
                <w:lang w:eastAsia="it-IT"/>
              </w:rPr>
            </w:pPr>
            <w:r w:rsidRPr="009E4723">
              <w:rPr>
                <w:rFonts w:eastAsia="Times New Roman" w:cstheme="minorHAnsi"/>
                <w:sz w:val="20"/>
                <w:szCs w:val="20"/>
                <w:lang w:eastAsia="it-IT"/>
              </w:rPr>
              <w:t>39.045.926</w:t>
            </w:r>
          </w:p>
        </w:tc>
        <w:tc>
          <w:tcPr>
            <w:tcW w:w="1840" w:type="dxa"/>
            <w:tcBorders>
              <w:top w:val="single" w:sz="4" w:space="0" w:color="auto"/>
              <w:left w:val="nil"/>
              <w:bottom w:val="nil"/>
              <w:right w:val="nil"/>
            </w:tcBorders>
            <w:shd w:val="clear" w:color="000000" w:fill="FFFFFF"/>
            <w:noWrap/>
            <w:vAlign w:val="bottom"/>
            <w:hideMark/>
          </w:tcPr>
          <w:p w:rsidR="00D943E2" w:rsidRPr="009E4723" w:rsidRDefault="00D943E2" w:rsidP="00D943E2">
            <w:pPr>
              <w:spacing w:after="0" w:line="240" w:lineRule="auto"/>
              <w:jc w:val="right"/>
              <w:rPr>
                <w:rFonts w:eastAsia="Times New Roman" w:cstheme="minorHAnsi"/>
                <w:sz w:val="20"/>
                <w:szCs w:val="20"/>
                <w:lang w:eastAsia="it-IT"/>
              </w:rPr>
            </w:pPr>
            <w:r w:rsidRPr="009E4723">
              <w:rPr>
                <w:rFonts w:eastAsia="Times New Roman" w:cstheme="minorHAnsi"/>
                <w:sz w:val="20"/>
                <w:szCs w:val="20"/>
                <w:lang w:eastAsia="it-IT"/>
              </w:rPr>
              <w:t>93.957.101</w:t>
            </w:r>
          </w:p>
        </w:tc>
        <w:tc>
          <w:tcPr>
            <w:tcW w:w="1600" w:type="dxa"/>
            <w:tcBorders>
              <w:top w:val="single" w:sz="4" w:space="0" w:color="auto"/>
              <w:left w:val="nil"/>
              <w:bottom w:val="nil"/>
              <w:right w:val="nil"/>
            </w:tcBorders>
            <w:shd w:val="clear" w:color="000000" w:fill="FFFFFF"/>
            <w:noWrap/>
            <w:vAlign w:val="bottom"/>
            <w:hideMark/>
          </w:tcPr>
          <w:p w:rsidR="00D943E2" w:rsidRPr="009E4723" w:rsidRDefault="00D943E2" w:rsidP="00D943E2">
            <w:pPr>
              <w:spacing w:after="0" w:line="240" w:lineRule="auto"/>
              <w:jc w:val="right"/>
              <w:rPr>
                <w:rFonts w:eastAsia="Times New Roman" w:cstheme="minorHAnsi"/>
                <w:sz w:val="20"/>
                <w:szCs w:val="20"/>
                <w:lang w:eastAsia="it-IT"/>
              </w:rPr>
            </w:pPr>
            <w:r w:rsidRPr="009E4723">
              <w:rPr>
                <w:rFonts w:eastAsia="Times New Roman" w:cstheme="minorHAnsi"/>
                <w:sz w:val="20"/>
                <w:szCs w:val="20"/>
                <w:lang w:eastAsia="it-IT"/>
              </w:rPr>
              <w:t>105.241.293</w:t>
            </w:r>
          </w:p>
        </w:tc>
        <w:tc>
          <w:tcPr>
            <w:tcW w:w="1900" w:type="dxa"/>
            <w:tcBorders>
              <w:top w:val="single" w:sz="4" w:space="0" w:color="auto"/>
              <w:left w:val="nil"/>
              <w:bottom w:val="nil"/>
              <w:right w:val="nil"/>
            </w:tcBorders>
            <w:shd w:val="clear" w:color="000000" w:fill="FFFFFF"/>
            <w:noWrap/>
            <w:vAlign w:val="bottom"/>
            <w:hideMark/>
          </w:tcPr>
          <w:p w:rsidR="00D943E2" w:rsidRPr="009E4723" w:rsidRDefault="00D943E2" w:rsidP="00D943E2">
            <w:pPr>
              <w:spacing w:after="0" w:line="240" w:lineRule="auto"/>
              <w:jc w:val="right"/>
              <w:rPr>
                <w:rFonts w:eastAsia="Times New Roman" w:cstheme="minorHAnsi"/>
                <w:sz w:val="20"/>
                <w:szCs w:val="20"/>
                <w:lang w:eastAsia="it-IT"/>
              </w:rPr>
            </w:pPr>
            <w:r w:rsidRPr="009E4723">
              <w:rPr>
                <w:rFonts w:eastAsia="Times New Roman" w:cstheme="minorHAnsi"/>
                <w:sz w:val="20"/>
                <w:szCs w:val="20"/>
                <w:lang w:eastAsia="it-IT"/>
              </w:rPr>
              <w:t>149.566.730</w:t>
            </w:r>
          </w:p>
        </w:tc>
      </w:tr>
      <w:tr w:rsidR="00D943E2" w:rsidRPr="00D943E2" w:rsidTr="00D943E2">
        <w:trPr>
          <w:trHeight w:val="300"/>
          <w:jc w:val="center"/>
        </w:trPr>
        <w:tc>
          <w:tcPr>
            <w:tcW w:w="1987" w:type="dxa"/>
            <w:tcBorders>
              <w:top w:val="nil"/>
              <w:left w:val="nil"/>
              <w:bottom w:val="nil"/>
              <w:right w:val="nil"/>
            </w:tcBorders>
            <w:shd w:val="clear" w:color="000000" w:fill="FFFFFF"/>
            <w:vAlign w:val="center"/>
            <w:hideMark/>
          </w:tcPr>
          <w:p w:rsidR="00D943E2" w:rsidRPr="00D943E2" w:rsidRDefault="00D943E2" w:rsidP="00D943E2">
            <w:pPr>
              <w:spacing w:after="0" w:line="240" w:lineRule="auto"/>
              <w:rPr>
                <w:rFonts w:eastAsia="Times New Roman" w:cstheme="minorHAnsi"/>
                <w:sz w:val="20"/>
                <w:szCs w:val="20"/>
                <w:lang w:eastAsia="it-IT"/>
              </w:rPr>
            </w:pPr>
            <w:r w:rsidRPr="00D943E2">
              <w:rPr>
                <w:rFonts w:eastAsia="Times New Roman" w:cstheme="minorHAnsi"/>
                <w:sz w:val="20"/>
                <w:szCs w:val="20"/>
                <w:lang w:eastAsia="it-IT"/>
              </w:rPr>
              <w:t>Piemonte</w:t>
            </w:r>
          </w:p>
        </w:tc>
        <w:tc>
          <w:tcPr>
            <w:tcW w:w="142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29.064.285</w:t>
            </w:r>
          </w:p>
        </w:tc>
        <w:tc>
          <w:tcPr>
            <w:tcW w:w="184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29.943.533</w:t>
            </w:r>
          </w:p>
        </w:tc>
        <w:tc>
          <w:tcPr>
            <w:tcW w:w="160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37.835.276</w:t>
            </w:r>
          </w:p>
        </w:tc>
        <w:tc>
          <w:tcPr>
            <w:tcW w:w="190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56.017.724</w:t>
            </w:r>
          </w:p>
        </w:tc>
      </w:tr>
      <w:tr w:rsidR="00D943E2" w:rsidRPr="00D943E2" w:rsidTr="00D943E2">
        <w:trPr>
          <w:trHeight w:val="300"/>
          <w:jc w:val="center"/>
        </w:trPr>
        <w:tc>
          <w:tcPr>
            <w:tcW w:w="1987"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rPr>
                <w:rFonts w:eastAsia="Times New Roman" w:cstheme="minorHAnsi"/>
                <w:color w:val="000000"/>
                <w:sz w:val="20"/>
                <w:szCs w:val="20"/>
                <w:lang w:eastAsia="it-IT"/>
              </w:rPr>
            </w:pPr>
            <w:r w:rsidRPr="00D943E2">
              <w:rPr>
                <w:rFonts w:eastAsia="Times New Roman" w:cstheme="minorHAnsi"/>
                <w:color w:val="000000"/>
                <w:sz w:val="20"/>
                <w:szCs w:val="20"/>
                <w:lang w:eastAsia="it-IT"/>
              </w:rPr>
              <w:t>Veneto</w:t>
            </w:r>
          </w:p>
        </w:tc>
        <w:tc>
          <w:tcPr>
            <w:tcW w:w="142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22.009.458</w:t>
            </w:r>
          </w:p>
        </w:tc>
        <w:tc>
          <w:tcPr>
            <w:tcW w:w="184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30.511.378</w:t>
            </w:r>
          </w:p>
        </w:tc>
        <w:tc>
          <w:tcPr>
            <w:tcW w:w="160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33.260.835</w:t>
            </w:r>
          </w:p>
        </w:tc>
        <w:tc>
          <w:tcPr>
            <w:tcW w:w="190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48.397.031</w:t>
            </w:r>
          </w:p>
        </w:tc>
      </w:tr>
      <w:tr w:rsidR="00D943E2" w:rsidRPr="00D943E2" w:rsidTr="00D943E2">
        <w:trPr>
          <w:trHeight w:val="300"/>
          <w:jc w:val="center"/>
        </w:trPr>
        <w:tc>
          <w:tcPr>
            <w:tcW w:w="1987"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rPr>
                <w:rFonts w:eastAsia="Times New Roman" w:cstheme="minorHAnsi"/>
                <w:color w:val="000000"/>
                <w:sz w:val="20"/>
                <w:szCs w:val="20"/>
                <w:lang w:eastAsia="it-IT"/>
              </w:rPr>
            </w:pPr>
            <w:r w:rsidRPr="00D943E2">
              <w:rPr>
                <w:rFonts w:eastAsia="Times New Roman" w:cstheme="minorHAnsi"/>
                <w:color w:val="000000"/>
                <w:sz w:val="20"/>
                <w:szCs w:val="20"/>
                <w:lang w:eastAsia="it-IT"/>
              </w:rPr>
              <w:t>Emilia Romagna</w:t>
            </w:r>
          </w:p>
        </w:tc>
        <w:tc>
          <w:tcPr>
            <w:tcW w:w="142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17.764.075</w:t>
            </w:r>
          </w:p>
        </w:tc>
        <w:tc>
          <w:tcPr>
            <w:tcW w:w="184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25.046.801</w:t>
            </w:r>
          </w:p>
        </w:tc>
        <w:tc>
          <w:tcPr>
            <w:tcW w:w="160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29.505.066</w:t>
            </w:r>
          </w:p>
        </w:tc>
        <w:tc>
          <w:tcPr>
            <w:tcW w:w="190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45.541.370</w:t>
            </w:r>
          </w:p>
        </w:tc>
      </w:tr>
      <w:tr w:rsidR="00D943E2" w:rsidRPr="00D943E2" w:rsidTr="00D943E2">
        <w:trPr>
          <w:trHeight w:val="300"/>
          <w:jc w:val="center"/>
        </w:trPr>
        <w:tc>
          <w:tcPr>
            <w:tcW w:w="1987"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rPr>
                <w:rFonts w:eastAsia="Times New Roman" w:cstheme="minorHAnsi"/>
                <w:color w:val="000000"/>
                <w:sz w:val="20"/>
                <w:szCs w:val="20"/>
                <w:lang w:eastAsia="it-IT"/>
              </w:rPr>
            </w:pPr>
            <w:r w:rsidRPr="00D943E2">
              <w:rPr>
                <w:rFonts w:eastAsia="Times New Roman" w:cstheme="minorHAnsi"/>
                <w:color w:val="000000"/>
                <w:sz w:val="20"/>
                <w:szCs w:val="20"/>
                <w:lang w:eastAsia="it-IT"/>
              </w:rPr>
              <w:t>Toscana</w:t>
            </w:r>
          </w:p>
        </w:tc>
        <w:tc>
          <w:tcPr>
            <w:tcW w:w="142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16.641.015</w:t>
            </w:r>
          </w:p>
        </w:tc>
        <w:tc>
          <w:tcPr>
            <w:tcW w:w="184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24.620.829</w:t>
            </w:r>
          </w:p>
        </w:tc>
        <w:tc>
          <w:tcPr>
            <w:tcW w:w="160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29.763.524</w:t>
            </w:r>
          </w:p>
        </w:tc>
        <w:tc>
          <w:tcPr>
            <w:tcW w:w="190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44.012.192</w:t>
            </w:r>
          </w:p>
        </w:tc>
      </w:tr>
      <w:tr w:rsidR="00D943E2" w:rsidRPr="00D943E2" w:rsidTr="00D943E2">
        <w:trPr>
          <w:trHeight w:val="300"/>
          <w:jc w:val="center"/>
        </w:trPr>
        <w:tc>
          <w:tcPr>
            <w:tcW w:w="1987"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rPr>
                <w:rFonts w:eastAsia="Times New Roman" w:cstheme="minorHAnsi"/>
                <w:color w:val="000000"/>
                <w:sz w:val="20"/>
                <w:szCs w:val="20"/>
                <w:lang w:eastAsia="it-IT"/>
              </w:rPr>
            </w:pPr>
            <w:r w:rsidRPr="00D943E2">
              <w:rPr>
                <w:rFonts w:eastAsia="Times New Roman" w:cstheme="minorHAnsi"/>
                <w:color w:val="000000"/>
                <w:sz w:val="20"/>
                <w:szCs w:val="20"/>
                <w:lang w:eastAsia="it-IT"/>
              </w:rPr>
              <w:t>Lazio</w:t>
            </w:r>
          </w:p>
        </w:tc>
        <w:tc>
          <w:tcPr>
            <w:tcW w:w="142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6.300.270</w:t>
            </w:r>
          </w:p>
        </w:tc>
        <w:tc>
          <w:tcPr>
            <w:tcW w:w="184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8.944.614</w:t>
            </w:r>
          </w:p>
        </w:tc>
        <w:tc>
          <w:tcPr>
            <w:tcW w:w="160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10.007.990</w:t>
            </w:r>
          </w:p>
        </w:tc>
        <w:tc>
          <w:tcPr>
            <w:tcW w:w="190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12.640.148</w:t>
            </w:r>
          </w:p>
        </w:tc>
      </w:tr>
      <w:tr w:rsidR="00D943E2" w:rsidRPr="00D943E2" w:rsidTr="00D943E2">
        <w:trPr>
          <w:trHeight w:val="300"/>
          <w:jc w:val="center"/>
        </w:trPr>
        <w:tc>
          <w:tcPr>
            <w:tcW w:w="1987"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rPr>
                <w:rFonts w:eastAsia="Times New Roman" w:cstheme="minorHAnsi"/>
                <w:color w:val="000000"/>
                <w:sz w:val="20"/>
                <w:szCs w:val="20"/>
                <w:lang w:eastAsia="it-IT"/>
              </w:rPr>
            </w:pPr>
            <w:r w:rsidRPr="00D943E2">
              <w:rPr>
                <w:rFonts w:eastAsia="Times New Roman" w:cstheme="minorHAnsi"/>
                <w:color w:val="000000"/>
                <w:sz w:val="20"/>
                <w:szCs w:val="20"/>
                <w:lang w:eastAsia="it-IT"/>
              </w:rPr>
              <w:t>Liguria</w:t>
            </w:r>
          </w:p>
        </w:tc>
        <w:tc>
          <w:tcPr>
            <w:tcW w:w="142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2.838.830</w:t>
            </w:r>
          </w:p>
        </w:tc>
        <w:tc>
          <w:tcPr>
            <w:tcW w:w="184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4.729.819</w:t>
            </w:r>
          </w:p>
        </w:tc>
        <w:tc>
          <w:tcPr>
            <w:tcW w:w="160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6.804.076</w:t>
            </w:r>
          </w:p>
        </w:tc>
        <w:tc>
          <w:tcPr>
            <w:tcW w:w="190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11.774.690</w:t>
            </w:r>
          </w:p>
        </w:tc>
      </w:tr>
      <w:tr w:rsidR="00D943E2" w:rsidRPr="00D943E2" w:rsidTr="00D943E2">
        <w:trPr>
          <w:trHeight w:val="300"/>
          <w:jc w:val="center"/>
        </w:trPr>
        <w:tc>
          <w:tcPr>
            <w:tcW w:w="1987"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rPr>
                <w:rFonts w:eastAsia="Times New Roman" w:cstheme="minorHAnsi"/>
                <w:color w:val="000000"/>
                <w:sz w:val="20"/>
                <w:szCs w:val="20"/>
                <w:lang w:eastAsia="it-IT"/>
              </w:rPr>
            </w:pPr>
            <w:r w:rsidRPr="00D943E2">
              <w:rPr>
                <w:rFonts w:eastAsia="Times New Roman" w:cstheme="minorHAnsi"/>
                <w:color w:val="000000"/>
                <w:sz w:val="20"/>
                <w:szCs w:val="20"/>
                <w:lang w:eastAsia="it-IT"/>
              </w:rPr>
              <w:t>Umbria</w:t>
            </w:r>
          </w:p>
        </w:tc>
        <w:tc>
          <w:tcPr>
            <w:tcW w:w="142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210.810</w:t>
            </w:r>
          </w:p>
        </w:tc>
        <w:tc>
          <w:tcPr>
            <w:tcW w:w="184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664.099</w:t>
            </w:r>
          </w:p>
        </w:tc>
        <w:tc>
          <w:tcPr>
            <w:tcW w:w="160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1.838.161</w:t>
            </w:r>
          </w:p>
        </w:tc>
        <w:tc>
          <w:tcPr>
            <w:tcW w:w="190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5.234.584</w:t>
            </w:r>
          </w:p>
        </w:tc>
      </w:tr>
      <w:tr w:rsidR="00D943E2" w:rsidRPr="00D943E2" w:rsidTr="00D943E2">
        <w:trPr>
          <w:trHeight w:val="300"/>
          <w:jc w:val="center"/>
        </w:trPr>
        <w:tc>
          <w:tcPr>
            <w:tcW w:w="1987"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rPr>
                <w:rFonts w:eastAsia="Times New Roman" w:cstheme="minorHAnsi"/>
                <w:color w:val="000000"/>
                <w:sz w:val="20"/>
                <w:szCs w:val="20"/>
                <w:lang w:eastAsia="it-IT"/>
              </w:rPr>
            </w:pPr>
            <w:r w:rsidRPr="00D943E2">
              <w:rPr>
                <w:rFonts w:eastAsia="Times New Roman" w:cstheme="minorHAnsi"/>
                <w:color w:val="000000"/>
                <w:sz w:val="20"/>
                <w:szCs w:val="20"/>
                <w:lang w:eastAsia="it-IT"/>
              </w:rPr>
              <w:t>Friuli Venezia Giulia</w:t>
            </w:r>
          </w:p>
        </w:tc>
        <w:tc>
          <w:tcPr>
            <w:tcW w:w="142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1.019.843</w:t>
            </w:r>
          </w:p>
        </w:tc>
        <w:tc>
          <w:tcPr>
            <w:tcW w:w="184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2.246.710</w:t>
            </w:r>
          </w:p>
        </w:tc>
        <w:tc>
          <w:tcPr>
            <w:tcW w:w="160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2.877.339</w:t>
            </w:r>
          </w:p>
        </w:tc>
        <w:tc>
          <w:tcPr>
            <w:tcW w:w="190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4.192.654</w:t>
            </w:r>
          </w:p>
        </w:tc>
      </w:tr>
      <w:tr w:rsidR="00D943E2" w:rsidRPr="009E4723" w:rsidTr="00D943E2">
        <w:trPr>
          <w:trHeight w:val="300"/>
          <w:jc w:val="center"/>
        </w:trPr>
        <w:tc>
          <w:tcPr>
            <w:tcW w:w="1987" w:type="dxa"/>
            <w:tcBorders>
              <w:top w:val="nil"/>
              <w:left w:val="nil"/>
              <w:bottom w:val="nil"/>
              <w:right w:val="nil"/>
            </w:tcBorders>
            <w:shd w:val="clear" w:color="000000" w:fill="FFFFFF"/>
            <w:noWrap/>
            <w:vAlign w:val="bottom"/>
            <w:hideMark/>
          </w:tcPr>
          <w:p w:rsidR="00D943E2" w:rsidRPr="009E4723" w:rsidRDefault="00D943E2" w:rsidP="00D943E2">
            <w:pPr>
              <w:spacing w:after="0" w:line="240" w:lineRule="auto"/>
              <w:rPr>
                <w:rFonts w:eastAsia="Times New Roman" w:cstheme="minorHAnsi"/>
                <w:b/>
                <w:color w:val="C00000"/>
                <w:sz w:val="20"/>
                <w:szCs w:val="20"/>
                <w:lang w:eastAsia="it-IT"/>
              </w:rPr>
            </w:pPr>
            <w:r w:rsidRPr="009E4723">
              <w:rPr>
                <w:rFonts w:eastAsia="Times New Roman" w:cstheme="minorHAnsi"/>
                <w:b/>
                <w:color w:val="C00000"/>
                <w:sz w:val="20"/>
                <w:szCs w:val="20"/>
                <w:lang w:eastAsia="it-IT"/>
              </w:rPr>
              <w:t>Campania</w:t>
            </w:r>
          </w:p>
        </w:tc>
        <w:tc>
          <w:tcPr>
            <w:tcW w:w="1420" w:type="dxa"/>
            <w:tcBorders>
              <w:top w:val="nil"/>
              <w:left w:val="nil"/>
              <w:bottom w:val="nil"/>
              <w:right w:val="nil"/>
            </w:tcBorders>
            <w:shd w:val="clear" w:color="000000" w:fill="FFFFFF"/>
            <w:noWrap/>
            <w:vAlign w:val="bottom"/>
            <w:hideMark/>
          </w:tcPr>
          <w:p w:rsidR="00D943E2" w:rsidRPr="009E4723" w:rsidRDefault="00D943E2" w:rsidP="00D943E2">
            <w:pPr>
              <w:spacing w:after="0" w:line="240" w:lineRule="auto"/>
              <w:jc w:val="right"/>
              <w:rPr>
                <w:rFonts w:eastAsia="Times New Roman" w:cstheme="minorHAnsi"/>
                <w:b/>
                <w:color w:val="C00000"/>
                <w:sz w:val="20"/>
                <w:szCs w:val="20"/>
                <w:lang w:eastAsia="it-IT"/>
              </w:rPr>
            </w:pPr>
            <w:r w:rsidRPr="009E4723">
              <w:rPr>
                <w:rFonts w:eastAsia="Times New Roman" w:cstheme="minorHAnsi"/>
                <w:b/>
                <w:color w:val="C00000"/>
                <w:sz w:val="20"/>
                <w:szCs w:val="20"/>
                <w:lang w:eastAsia="it-IT"/>
              </w:rPr>
              <w:t>764.082</w:t>
            </w:r>
          </w:p>
        </w:tc>
        <w:tc>
          <w:tcPr>
            <w:tcW w:w="1840" w:type="dxa"/>
            <w:tcBorders>
              <w:top w:val="nil"/>
              <w:left w:val="nil"/>
              <w:bottom w:val="nil"/>
              <w:right w:val="nil"/>
            </w:tcBorders>
            <w:shd w:val="clear" w:color="000000" w:fill="FFFFFF"/>
            <w:noWrap/>
            <w:vAlign w:val="bottom"/>
            <w:hideMark/>
          </w:tcPr>
          <w:p w:rsidR="00D943E2" w:rsidRPr="009E4723" w:rsidRDefault="00D943E2" w:rsidP="00D943E2">
            <w:pPr>
              <w:spacing w:after="0" w:line="240" w:lineRule="auto"/>
              <w:jc w:val="right"/>
              <w:rPr>
                <w:rFonts w:eastAsia="Times New Roman" w:cstheme="minorHAnsi"/>
                <w:b/>
                <w:color w:val="C00000"/>
                <w:sz w:val="20"/>
                <w:szCs w:val="20"/>
                <w:lang w:eastAsia="it-IT"/>
              </w:rPr>
            </w:pPr>
            <w:r w:rsidRPr="009E4723">
              <w:rPr>
                <w:rFonts w:eastAsia="Times New Roman" w:cstheme="minorHAnsi"/>
                <w:b/>
                <w:color w:val="C00000"/>
                <w:sz w:val="20"/>
                <w:szCs w:val="20"/>
                <w:lang w:eastAsia="it-IT"/>
              </w:rPr>
              <w:t>1.253.584</w:t>
            </w:r>
          </w:p>
        </w:tc>
        <w:tc>
          <w:tcPr>
            <w:tcW w:w="1600" w:type="dxa"/>
            <w:tcBorders>
              <w:top w:val="nil"/>
              <w:left w:val="nil"/>
              <w:bottom w:val="nil"/>
              <w:right w:val="nil"/>
            </w:tcBorders>
            <w:shd w:val="clear" w:color="000000" w:fill="FFFFFF"/>
            <w:noWrap/>
            <w:vAlign w:val="bottom"/>
            <w:hideMark/>
          </w:tcPr>
          <w:p w:rsidR="00D943E2" w:rsidRPr="009E4723" w:rsidRDefault="00D943E2" w:rsidP="00D943E2">
            <w:pPr>
              <w:spacing w:after="0" w:line="240" w:lineRule="auto"/>
              <w:jc w:val="right"/>
              <w:rPr>
                <w:rFonts w:eastAsia="Times New Roman" w:cstheme="minorHAnsi"/>
                <w:b/>
                <w:color w:val="C00000"/>
                <w:sz w:val="20"/>
                <w:szCs w:val="20"/>
                <w:lang w:eastAsia="it-IT"/>
              </w:rPr>
            </w:pPr>
            <w:r w:rsidRPr="009E4723">
              <w:rPr>
                <w:rFonts w:eastAsia="Times New Roman" w:cstheme="minorHAnsi"/>
                <w:b/>
                <w:color w:val="C00000"/>
                <w:sz w:val="20"/>
                <w:szCs w:val="20"/>
                <w:lang w:eastAsia="it-IT"/>
              </w:rPr>
              <w:t>2.005.271</w:t>
            </w:r>
          </w:p>
        </w:tc>
        <w:tc>
          <w:tcPr>
            <w:tcW w:w="1900" w:type="dxa"/>
            <w:tcBorders>
              <w:top w:val="nil"/>
              <w:left w:val="nil"/>
              <w:bottom w:val="nil"/>
              <w:right w:val="nil"/>
            </w:tcBorders>
            <w:shd w:val="clear" w:color="000000" w:fill="FFFFFF"/>
            <w:noWrap/>
            <w:vAlign w:val="bottom"/>
            <w:hideMark/>
          </w:tcPr>
          <w:p w:rsidR="00D943E2" w:rsidRPr="009E4723" w:rsidRDefault="00D943E2" w:rsidP="00D943E2">
            <w:pPr>
              <w:spacing w:after="0" w:line="240" w:lineRule="auto"/>
              <w:jc w:val="right"/>
              <w:rPr>
                <w:rFonts w:eastAsia="Times New Roman" w:cstheme="minorHAnsi"/>
                <w:b/>
                <w:color w:val="C00000"/>
                <w:sz w:val="20"/>
                <w:szCs w:val="20"/>
                <w:lang w:eastAsia="it-IT"/>
              </w:rPr>
            </w:pPr>
            <w:r w:rsidRPr="009E4723">
              <w:rPr>
                <w:rFonts w:eastAsia="Times New Roman" w:cstheme="minorHAnsi"/>
                <w:b/>
                <w:color w:val="C00000"/>
                <w:sz w:val="20"/>
                <w:szCs w:val="20"/>
                <w:lang w:eastAsia="it-IT"/>
              </w:rPr>
              <w:t>3.452.860</w:t>
            </w:r>
          </w:p>
        </w:tc>
      </w:tr>
      <w:tr w:rsidR="00D943E2" w:rsidRPr="00D943E2" w:rsidTr="00D943E2">
        <w:trPr>
          <w:trHeight w:val="300"/>
          <w:jc w:val="center"/>
        </w:trPr>
        <w:tc>
          <w:tcPr>
            <w:tcW w:w="1987"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rPr>
                <w:rFonts w:eastAsia="Times New Roman" w:cstheme="minorHAnsi"/>
                <w:color w:val="000000"/>
                <w:sz w:val="20"/>
                <w:szCs w:val="20"/>
                <w:lang w:eastAsia="it-IT"/>
              </w:rPr>
            </w:pPr>
            <w:r w:rsidRPr="00D943E2">
              <w:rPr>
                <w:rFonts w:eastAsia="Times New Roman" w:cstheme="minorHAnsi"/>
                <w:color w:val="000000"/>
                <w:sz w:val="20"/>
                <w:szCs w:val="20"/>
                <w:lang w:eastAsia="it-IT"/>
              </w:rPr>
              <w:t>Marche</w:t>
            </w:r>
          </w:p>
        </w:tc>
        <w:tc>
          <w:tcPr>
            <w:tcW w:w="142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1.017.422</w:t>
            </w:r>
          </w:p>
        </w:tc>
        <w:tc>
          <w:tcPr>
            <w:tcW w:w="184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1.845.110</w:t>
            </w:r>
          </w:p>
        </w:tc>
        <w:tc>
          <w:tcPr>
            <w:tcW w:w="160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2.399.351</w:t>
            </w:r>
          </w:p>
        </w:tc>
        <w:tc>
          <w:tcPr>
            <w:tcW w:w="190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3.557.765</w:t>
            </w:r>
          </w:p>
        </w:tc>
      </w:tr>
      <w:tr w:rsidR="00D943E2" w:rsidRPr="00D943E2" w:rsidTr="00D943E2">
        <w:trPr>
          <w:trHeight w:val="300"/>
          <w:jc w:val="center"/>
        </w:trPr>
        <w:tc>
          <w:tcPr>
            <w:tcW w:w="1987"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rPr>
                <w:rFonts w:eastAsia="Times New Roman" w:cstheme="minorHAnsi"/>
                <w:color w:val="000000"/>
                <w:sz w:val="20"/>
                <w:szCs w:val="20"/>
                <w:lang w:eastAsia="it-IT"/>
              </w:rPr>
            </w:pPr>
            <w:r w:rsidRPr="00D943E2">
              <w:rPr>
                <w:rFonts w:eastAsia="Times New Roman" w:cstheme="minorHAnsi"/>
                <w:color w:val="000000"/>
                <w:sz w:val="20"/>
                <w:szCs w:val="20"/>
                <w:lang w:eastAsia="it-IT"/>
              </w:rPr>
              <w:t xml:space="preserve">Puglia </w:t>
            </w:r>
          </w:p>
        </w:tc>
        <w:tc>
          <w:tcPr>
            <w:tcW w:w="142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1.050.954</w:t>
            </w:r>
          </w:p>
        </w:tc>
        <w:tc>
          <w:tcPr>
            <w:tcW w:w="184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1.383.487</w:t>
            </w:r>
          </w:p>
        </w:tc>
        <w:tc>
          <w:tcPr>
            <w:tcW w:w="160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1.575.957</w:t>
            </w:r>
          </w:p>
        </w:tc>
        <w:tc>
          <w:tcPr>
            <w:tcW w:w="190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1.982.192</w:t>
            </w:r>
          </w:p>
        </w:tc>
      </w:tr>
      <w:tr w:rsidR="00D943E2" w:rsidRPr="00D943E2" w:rsidTr="00D943E2">
        <w:trPr>
          <w:trHeight w:val="300"/>
          <w:jc w:val="center"/>
        </w:trPr>
        <w:tc>
          <w:tcPr>
            <w:tcW w:w="1987"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rPr>
                <w:rFonts w:eastAsia="Times New Roman" w:cstheme="minorHAnsi"/>
                <w:color w:val="000000"/>
                <w:sz w:val="20"/>
                <w:szCs w:val="20"/>
                <w:lang w:eastAsia="it-IT"/>
              </w:rPr>
            </w:pPr>
            <w:r w:rsidRPr="00D943E2">
              <w:rPr>
                <w:rFonts w:eastAsia="Times New Roman" w:cstheme="minorHAnsi"/>
                <w:color w:val="000000"/>
                <w:sz w:val="20"/>
                <w:szCs w:val="20"/>
                <w:lang w:eastAsia="it-IT"/>
              </w:rPr>
              <w:t>Sardegna</w:t>
            </w:r>
          </w:p>
        </w:tc>
        <w:tc>
          <w:tcPr>
            <w:tcW w:w="142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304.615</w:t>
            </w:r>
          </w:p>
        </w:tc>
        <w:tc>
          <w:tcPr>
            <w:tcW w:w="184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1.279.615</w:t>
            </w:r>
          </w:p>
        </w:tc>
        <w:tc>
          <w:tcPr>
            <w:tcW w:w="160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982.415</w:t>
            </w:r>
          </w:p>
        </w:tc>
        <w:tc>
          <w:tcPr>
            <w:tcW w:w="190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1.442.415</w:t>
            </w:r>
          </w:p>
        </w:tc>
      </w:tr>
      <w:tr w:rsidR="00D943E2" w:rsidRPr="00D943E2" w:rsidTr="00D943E2">
        <w:trPr>
          <w:trHeight w:val="300"/>
          <w:jc w:val="center"/>
        </w:trPr>
        <w:tc>
          <w:tcPr>
            <w:tcW w:w="1987"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rPr>
                <w:rFonts w:eastAsia="Times New Roman" w:cstheme="minorHAnsi"/>
                <w:color w:val="000000"/>
                <w:sz w:val="20"/>
                <w:szCs w:val="20"/>
                <w:lang w:eastAsia="it-IT"/>
              </w:rPr>
            </w:pPr>
            <w:r w:rsidRPr="00D943E2">
              <w:rPr>
                <w:rFonts w:eastAsia="Times New Roman" w:cstheme="minorHAnsi"/>
                <w:color w:val="000000"/>
                <w:sz w:val="20"/>
                <w:szCs w:val="20"/>
                <w:lang w:eastAsia="it-IT"/>
              </w:rPr>
              <w:t>Trentino Alto Adige</w:t>
            </w:r>
          </w:p>
        </w:tc>
        <w:tc>
          <w:tcPr>
            <w:tcW w:w="142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6.600</w:t>
            </w:r>
          </w:p>
        </w:tc>
        <w:tc>
          <w:tcPr>
            <w:tcW w:w="184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102.200</w:t>
            </w:r>
          </w:p>
        </w:tc>
        <w:tc>
          <w:tcPr>
            <w:tcW w:w="160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381.900</w:t>
            </w:r>
          </w:p>
        </w:tc>
        <w:tc>
          <w:tcPr>
            <w:tcW w:w="190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806.425</w:t>
            </w:r>
          </w:p>
        </w:tc>
      </w:tr>
      <w:tr w:rsidR="00D943E2" w:rsidRPr="00D943E2" w:rsidTr="00D943E2">
        <w:trPr>
          <w:trHeight w:val="300"/>
          <w:jc w:val="center"/>
        </w:trPr>
        <w:tc>
          <w:tcPr>
            <w:tcW w:w="1987"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rPr>
                <w:rFonts w:eastAsia="Times New Roman" w:cstheme="minorHAnsi"/>
                <w:color w:val="000000"/>
                <w:sz w:val="20"/>
                <w:szCs w:val="20"/>
                <w:lang w:eastAsia="it-IT"/>
              </w:rPr>
            </w:pPr>
            <w:r w:rsidRPr="00D943E2">
              <w:rPr>
                <w:rFonts w:eastAsia="Times New Roman" w:cstheme="minorHAnsi"/>
                <w:color w:val="000000"/>
                <w:sz w:val="20"/>
                <w:szCs w:val="20"/>
                <w:lang w:eastAsia="it-IT"/>
              </w:rPr>
              <w:t>Abruzzo</w:t>
            </w:r>
          </w:p>
        </w:tc>
        <w:tc>
          <w:tcPr>
            <w:tcW w:w="142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34.000</w:t>
            </w:r>
          </w:p>
        </w:tc>
        <w:tc>
          <w:tcPr>
            <w:tcW w:w="184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34.600</w:t>
            </w:r>
          </w:p>
        </w:tc>
        <w:tc>
          <w:tcPr>
            <w:tcW w:w="160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48.300</w:t>
            </w:r>
          </w:p>
        </w:tc>
        <w:tc>
          <w:tcPr>
            <w:tcW w:w="190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913.448</w:t>
            </w:r>
          </w:p>
        </w:tc>
      </w:tr>
      <w:tr w:rsidR="00D943E2" w:rsidRPr="00D943E2" w:rsidTr="00D943E2">
        <w:trPr>
          <w:trHeight w:val="300"/>
          <w:jc w:val="center"/>
        </w:trPr>
        <w:tc>
          <w:tcPr>
            <w:tcW w:w="1987"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rPr>
                <w:rFonts w:eastAsia="Times New Roman" w:cstheme="minorHAnsi"/>
                <w:color w:val="000000"/>
                <w:sz w:val="20"/>
                <w:szCs w:val="20"/>
                <w:lang w:eastAsia="it-IT"/>
              </w:rPr>
            </w:pPr>
            <w:r w:rsidRPr="00D943E2">
              <w:rPr>
                <w:rFonts w:eastAsia="Times New Roman" w:cstheme="minorHAnsi"/>
                <w:color w:val="000000"/>
                <w:sz w:val="20"/>
                <w:szCs w:val="20"/>
                <w:lang w:eastAsia="it-IT"/>
              </w:rPr>
              <w:t>Sicilia</w:t>
            </w:r>
          </w:p>
        </w:tc>
        <w:tc>
          <w:tcPr>
            <w:tcW w:w="142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96.565</w:t>
            </w:r>
          </w:p>
        </w:tc>
        <w:tc>
          <w:tcPr>
            <w:tcW w:w="184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215.425</w:t>
            </w:r>
          </w:p>
        </w:tc>
        <w:tc>
          <w:tcPr>
            <w:tcW w:w="160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227.725</w:t>
            </w:r>
          </w:p>
        </w:tc>
        <w:tc>
          <w:tcPr>
            <w:tcW w:w="190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712.193</w:t>
            </w:r>
          </w:p>
        </w:tc>
      </w:tr>
      <w:tr w:rsidR="00D943E2" w:rsidRPr="00D943E2" w:rsidTr="00D943E2">
        <w:trPr>
          <w:trHeight w:val="300"/>
          <w:jc w:val="center"/>
        </w:trPr>
        <w:tc>
          <w:tcPr>
            <w:tcW w:w="1987"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rPr>
                <w:rFonts w:eastAsia="Times New Roman" w:cstheme="minorHAnsi"/>
                <w:color w:val="000000"/>
                <w:sz w:val="20"/>
                <w:szCs w:val="20"/>
                <w:lang w:eastAsia="it-IT"/>
              </w:rPr>
            </w:pPr>
            <w:r w:rsidRPr="00D943E2">
              <w:rPr>
                <w:rFonts w:eastAsia="Times New Roman" w:cstheme="minorHAnsi"/>
                <w:color w:val="000000"/>
                <w:sz w:val="20"/>
                <w:szCs w:val="20"/>
                <w:lang w:eastAsia="it-IT"/>
              </w:rPr>
              <w:t>Calabria</w:t>
            </w:r>
          </w:p>
        </w:tc>
        <w:tc>
          <w:tcPr>
            <w:tcW w:w="142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5.200</w:t>
            </w:r>
          </w:p>
        </w:tc>
        <w:tc>
          <w:tcPr>
            <w:tcW w:w="184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5.200</w:t>
            </w:r>
          </w:p>
        </w:tc>
        <w:tc>
          <w:tcPr>
            <w:tcW w:w="160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7.700</w:t>
            </w:r>
          </w:p>
        </w:tc>
        <w:tc>
          <w:tcPr>
            <w:tcW w:w="190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72.400</w:t>
            </w:r>
          </w:p>
        </w:tc>
      </w:tr>
      <w:tr w:rsidR="00D943E2" w:rsidRPr="00D943E2" w:rsidTr="00D943E2">
        <w:trPr>
          <w:trHeight w:val="300"/>
          <w:jc w:val="center"/>
        </w:trPr>
        <w:tc>
          <w:tcPr>
            <w:tcW w:w="1987"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rPr>
                <w:rFonts w:eastAsia="Times New Roman" w:cstheme="minorHAnsi"/>
                <w:color w:val="000000"/>
                <w:sz w:val="20"/>
                <w:szCs w:val="20"/>
                <w:lang w:eastAsia="it-IT"/>
              </w:rPr>
            </w:pPr>
            <w:r w:rsidRPr="00D943E2">
              <w:rPr>
                <w:rFonts w:eastAsia="Times New Roman" w:cstheme="minorHAnsi"/>
                <w:color w:val="000000"/>
                <w:sz w:val="20"/>
                <w:szCs w:val="20"/>
                <w:lang w:eastAsia="it-IT"/>
              </w:rPr>
              <w:t>Basilicata</w:t>
            </w:r>
          </w:p>
        </w:tc>
        <w:tc>
          <w:tcPr>
            <w:tcW w:w="142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0</w:t>
            </w:r>
          </w:p>
        </w:tc>
        <w:tc>
          <w:tcPr>
            <w:tcW w:w="184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2.000</w:t>
            </w:r>
          </w:p>
        </w:tc>
        <w:tc>
          <w:tcPr>
            <w:tcW w:w="160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2.000</w:t>
            </w:r>
          </w:p>
        </w:tc>
        <w:tc>
          <w:tcPr>
            <w:tcW w:w="190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2.000</w:t>
            </w:r>
          </w:p>
        </w:tc>
      </w:tr>
      <w:tr w:rsidR="00D943E2" w:rsidRPr="00D943E2" w:rsidTr="00D943E2">
        <w:trPr>
          <w:trHeight w:val="300"/>
          <w:jc w:val="center"/>
        </w:trPr>
        <w:tc>
          <w:tcPr>
            <w:tcW w:w="1987"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rPr>
                <w:rFonts w:eastAsia="Times New Roman" w:cstheme="minorHAnsi"/>
                <w:color w:val="000000"/>
                <w:sz w:val="20"/>
                <w:szCs w:val="20"/>
                <w:lang w:eastAsia="it-IT"/>
              </w:rPr>
            </w:pPr>
            <w:r w:rsidRPr="00D943E2">
              <w:rPr>
                <w:rFonts w:eastAsia="Times New Roman" w:cstheme="minorHAnsi"/>
                <w:color w:val="000000"/>
                <w:sz w:val="20"/>
                <w:szCs w:val="20"/>
                <w:lang w:eastAsia="it-IT"/>
              </w:rPr>
              <w:t>Molise</w:t>
            </w:r>
          </w:p>
        </w:tc>
        <w:tc>
          <w:tcPr>
            <w:tcW w:w="142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0</w:t>
            </w:r>
          </w:p>
        </w:tc>
        <w:tc>
          <w:tcPr>
            <w:tcW w:w="184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700</w:t>
            </w:r>
          </w:p>
        </w:tc>
        <w:tc>
          <w:tcPr>
            <w:tcW w:w="160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800</w:t>
            </w:r>
          </w:p>
        </w:tc>
        <w:tc>
          <w:tcPr>
            <w:tcW w:w="190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1.993</w:t>
            </w:r>
          </w:p>
        </w:tc>
      </w:tr>
      <w:tr w:rsidR="00D943E2" w:rsidRPr="00D943E2" w:rsidTr="00D943E2">
        <w:trPr>
          <w:trHeight w:val="300"/>
          <w:jc w:val="center"/>
        </w:trPr>
        <w:tc>
          <w:tcPr>
            <w:tcW w:w="1987"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rPr>
                <w:rFonts w:eastAsia="Times New Roman" w:cstheme="minorHAnsi"/>
                <w:color w:val="000000"/>
                <w:sz w:val="20"/>
                <w:szCs w:val="20"/>
                <w:lang w:eastAsia="it-IT"/>
              </w:rPr>
            </w:pPr>
            <w:r w:rsidRPr="00D943E2">
              <w:rPr>
                <w:rFonts w:eastAsia="Times New Roman" w:cstheme="minorHAnsi"/>
                <w:color w:val="000000"/>
                <w:sz w:val="20"/>
                <w:szCs w:val="20"/>
                <w:lang w:eastAsia="it-IT"/>
              </w:rPr>
              <w:t>Valle d'Aosta</w:t>
            </w:r>
          </w:p>
        </w:tc>
        <w:tc>
          <w:tcPr>
            <w:tcW w:w="1420" w:type="dxa"/>
            <w:tcBorders>
              <w:top w:val="nil"/>
              <w:left w:val="nil"/>
              <w:bottom w:val="single" w:sz="4" w:space="0" w:color="auto"/>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0</w:t>
            </w:r>
          </w:p>
        </w:tc>
        <w:tc>
          <w:tcPr>
            <w:tcW w:w="184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500</w:t>
            </w:r>
          </w:p>
        </w:tc>
        <w:tc>
          <w:tcPr>
            <w:tcW w:w="160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500</w:t>
            </w:r>
          </w:p>
        </w:tc>
        <w:tc>
          <w:tcPr>
            <w:tcW w:w="1900" w:type="dxa"/>
            <w:tcBorders>
              <w:top w:val="nil"/>
              <w:left w:val="nil"/>
              <w:bottom w:val="nil"/>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color w:val="000000"/>
                <w:sz w:val="20"/>
                <w:szCs w:val="20"/>
                <w:lang w:eastAsia="it-IT"/>
              </w:rPr>
            </w:pPr>
            <w:r w:rsidRPr="00D943E2">
              <w:rPr>
                <w:rFonts w:eastAsia="Times New Roman" w:cstheme="minorHAnsi"/>
                <w:color w:val="000000"/>
                <w:sz w:val="20"/>
                <w:szCs w:val="20"/>
                <w:lang w:eastAsia="it-IT"/>
              </w:rPr>
              <w:t>500</w:t>
            </w:r>
          </w:p>
        </w:tc>
      </w:tr>
      <w:tr w:rsidR="00D943E2" w:rsidRPr="00D943E2" w:rsidTr="00D943E2">
        <w:trPr>
          <w:trHeight w:val="300"/>
          <w:jc w:val="center"/>
        </w:trPr>
        <w:tc>
          <w:tcPr>
            <w:tcW w:w="1987" w:type="dxa"/>
            <w:tcBorders>
              <w:top w:val="single" w:sz="4" w:space="0" w:color="auto"/>
              <w:left w:val="nil"/>
              <w:bottom w:val="single" w:sz="4" w:space="0" w:color="auto"/>
              <w:right w:val="nil"/>
            </w:tcBorders>
            <w:shd w:val="clear" w:color="000000" w:fill="FFFFFF"/>
            <w:noWrap/>
            <w:vAlign w:val="bottom"/>
            <w:hideMark/>
          </w:tcPr>
          <w:p w:rsidR="00D943E2" w:rsidRPr="00D943E2" w:rsidRDefault="00D943E2" w:rsidP="00D943E2">
            <w:pPr>
              <w:spacing w:after="0" w:line="240" w:lineRule="auto"/>
              <w:rPr>
                <w:rFonts w:eastAsia="Times New Roman" w:cstheme="minorHAnsi"/>
                <w:b/>
                <w:bCs/>
                <w:color w:val="000000"/>
                <w:sz w:val="20"/>
                <w:szCs w:val="20"/>
                <w:lang w:eastAsia="it-IT"/>
              </w:rPr>
            </w:pPr>
            <w:r w:rsidRPr="00D943E2">
              <w:rPr>
                <w:rFonts w:eastAsia="Times New Roman" w:cstheme="minorHAnsi"/>
                <w:b/>
                <w:bCs/>
                <w:color w:val="000000"/>
                <w:sz w:val="20"/>
                <w:szCs w:val="20"/>
                <w:lang w:eastAsia="it-IT"/>
              </w:rPr>
              <w:t>Totale</w:t>
            </w:r>
          </w:p>
        </w:tc>
        <w:tc>
          <w:tcPr>
            <w:tcW w:w="1420" w:type="dxa"/>
            <w:tcBorders>
              <w:top w:val="nil"/>
              <w:left w:val="nil"/>
              <w:bottom w:val="single" w:sz="4" w:space="0" w:color="auto"/>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b/>
                <w:bCs/>
                <w:color w:val="000000"/>
                <w:sz w:val="20"/>
                <w:szCs w:val="20"/>
                <w:lang w:eastAsia="it-IT"/>
              </w:rPr>
            </w:pPr>
            <w:r w:rsidRPr="00D943E2">
              <w:rPr>
                <w:rFonts w:eastAsia="Times New Roman" w:cstheme="minorHAnsi"/>
                <w:b/>
                <w:bCs/>
                <w:color w:val="000000"/>
                <w:sz w:val="20"/>
                <w:szCs w:val="20"/>
                <w:lang w:eastAsia="it-IT"/>
              </w:rPr>
              <w:t>138.173.950</w:t>
            </w:r>
          </w:p>
        </w:tc>
        <w:tc>
          <w:tcPr>
            <w:tcW w:w="1840" w:type="dxa"/>
            <w:tcBorders>
              <w:top w:val="single" w:sz="4" w:space="0" w:color="auto"/>
              <w:left w:val="nil"/>
              <w:bottom w:val="single" w:sz="4" w:space="0" w:color="auto"/>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b/>
                <w:bCs/>
                <w:color w:val="000000"/>
                <w:sz w:val="20"/>
                <w:szCs w:val="20"/>
                <w:lang w:eastAsia="it-IT"/>
              </w:rPr>
            </w:pPr>
            <w:r w:rsidRPr="00D943E2">
              <w:rPr>
                <w:rFonts w:eastAsia="Times New Roman" w:cstheme="minorHAnsi"/>
                <w:b/>
                <w:bCs/>
                <w:color w:val="000000"/>
                <w:sz w:val="20"/>
                <w:szCs w:val="20"/>
                <w:lang w:eastAsia="it-IT"/>
              </w:rPr>
              <w:t>226.787.305</w:t>
            </w:r>
          </w:p>
        </w:tc>
        <w:tc>
          <w:tcPr>
            <w:tcW w:w="1600" w:type="dxa"/>
            <w:tcBorders>
              <w:top w:val="single" w:sz="4" w:space="0" w:color="auto"/>
              <w:left w:val="nil"/>
              <w:bottom w:val="single" w:sz="4" w:space="0" w:color="auto"/>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b/>
                <w:bCs/>
                <w:color w:val="000000"/>
                <w:sz w:val="20"/>
                <w:szCs w:val="20"/>
                <w:lang w:eastAsia="it-IT"/>
              </w:rPr>
            </w:pPr>
            <w:r w:rsidRPr="00D943E2">
              <w:rPr>
                <w:rFonts w:eastAsia="Times New Roman" w:cstheme="minorHAnsi"/>
                <w:b/>
                <w:bCs/>
                <w:color w:val="000000"/>
                <w:sz w:val="20"/>
                <w:szCs w:val="20"/>
                <w:lang w:eastAsia="it-IT"/>
              </w:rPr>
              <w:t>264.765.479</w:t>
            </w:r>
          </w:p>
        </w:tc>
        <w:tc>
          <w:tcPr>
            <w:tcW w:w="1900" w:type="dxa"/>
            <w:tcBorders>
              <w:top w:val="single" w:sz="4" w:space="0" w:color="auto"/>
              <w:left w:val="nil"/>
              <w:bottom w:val="single" w:sz="4" w:space="0" w:color="auto"/>
              <w:right w:val="nil"/>
            </w:tcBorders>
            <w:shd w:val="clear" w:color="000000" w:fill="FFFFFF"/>
            <w:noWrap/>
            <w:vAlign w:val="bottom"/>
            <w:hideMark/>
          </w:tcPr>
          <w:p w:rsidR="00D943E2" w:rsidRPr="00D943E2" w:rsidRDefault="00D943E2" w:rsidP="00D943E2">
            <w:pPr>
              <w:spacing w:after="0" w:line="240" w:lineRule="auto"/>
              <w:jc w:val="right"/>
              <w:rPr>
                <w:rFonts w:eastAsia="Times New Roman" w:cstheme="minorHAnsi"/>
                <w:b/>
                <w:bCs/>
                <w:color w:val="000000"/>
                <w:sz w:val="20"/>
                <w:szCs w:val="20"/>
                <w:lang w:eastAsia="it-IT"/>
              </w:rPr>
            </w:pPr>
            <w:r w:rsidRPr="00D943E2">
              <w:rPr>
                <w:rFonts w:eastAsia="Times New Roman" w:cstheme="minorHAnsi"/>
                <w:b/>
                <w:bCs/>
                <w:color w:val="000000"/>
                <w:sz w:val="20"/>
                <w:szCs w:val="20"/>
                <w:lang w:eastAsia="it-IT"/>
              </w:rPr>
              <w:t>390.321.313</w:t>
            </w:r>
          </w:p>
        </w:tc>
      </w:tr>
    </w:tbl>
    <w:p w:rsidR="00D943E2" w:rsidRDefault="00D943E2" w:rsidP="00D943E2">
      <w:pPr>
        <w:spacing w:after="0" w:line="276" w:lineRule="auto"/>
        <w:ind w:left="567"/>
        <w:jc w:val="both"/>
        <w:rPr>
          <w:noProof/>
          <w:sz w:val="18"/>
          <w:lang w:eastAsia="it-IT"/>
        </w:rPr>
      </w:pPr>
      <w:r>
        <w:rPr>
          <w:noProof/>
          <w:sz w:val="18"/>
          <w:lang w:eastAsia="it-IT"/>
        </w:rPr>
        <w:t>Fonte: Ales Spa</w:t>
      </w:r>
    </w:p>
    <w:p w:rsidR="00D943E2" w:rsidRPr="00D943E2" w:rsidRDefault="00D943E2" w:rsidP="00D943E2">
      <w:pPr>
        <w:spacing w:after="0" w:line="276" w:lineRule="auto"/>
        <w:ind w:left="567"/>
        <w:jc w:val="both"/>
        <w:rPr>
          <w:noProof/>
          <w:sz w:val="18"/>
          <w:lang w:eastAsia="it-IT"/>
        </w:rPr>
      </w:pPr>
      <w:r w:rsidRPr="00D943E2">
        <w:rPr>
          <w:noProof/>
          <w:sz w:val="18"/>
          <w:lang w:eastAsia="it-IT"/>
        </w:rPr>
        <w:t>* valore cumulativo al 31/12/2016 e al 31/12/2017</w:t>
      </w:r>
    </w:p>
    <w:p w:rsidR="00A22DF7" w:rsidRPr="00D943E2" w:rsidRDefault="00D943E2" w:rsidP="00D943E2">
      <w:pPr>
        <w:spacing w:after="0" w:line="276" w:lineRule="auto"/>
        <w:ind w:left="567"/>
        <w:jc w:val="both"/>
        <w:rPr>
          <w:noProof/>
          <w:sz w:val="18"/>
          <w:lang w:eastAsia="it-IT"/>
        </w:rPr>
      </w:pPr>
      <w:r w:rsidRPr="00D943E2">
        <w:rPr>
          <w:noProof/>
          <w:sz w:val="18"/>
          <w:lang w:eastAsia="it-IT"/>
        </w:rPr>
        <w:t xml:space="preserve">** valore cumulativo a luglio 2018 e a </w:t>
      </w:r>
      <w:r>
        <w:rPr>
          <w:noProof/>
          <w:sz w:val="18"/>
          <w:lang w:eastAsia="it-IT"/>
        </w:rPr>
        <w:t>ottobre</w:t>
      </w:r>
      <w:r w:rsidRPr="00D943E2">
        <w:rPr>
          <w:noProof/>
          <w:sz w:val="18"/>
          <w:lang w:eastAsia="it-IT"/>
        </w:rPr>
        <w:t xml:space="preserve"> 2019</w:t>
      </w:r>
    </w:p>
    <w:p w:rsidR="00B449B7" w:rsidRDefault="00B449B7" w:rsidP="00A22DF7">
      <w:pPr>
        <w:spacing w:after="0" w:line="276" w:lineRule="auto"/>
        <w:jc w:val="both"/>
        <w:rPr>
          <w:noProof/>
          <w:sz w:val="24"/>
          <w:lang w:eastAsia="it-IT"/>
        </w:rPr>
      </w:pPr>
    </w:p>
    <w:p w:rsidR="00C9784B" w:rsidRDefault="00C9784B" w:rsidP="00014060">
      <w:pPr>
        <w:spacing w:after="0" w:line="276" w:lineRule="auto"/>
        <w:jc w:val="both"/>
        <w:rPr>
          <w:noProof/>
          <w:sz w:val="24"/>
          <w:lang w:eastAsia="it-IT"/>
        </w:rPr>
      </w:pPr>
      <w:r>
        <w:rPr>
          <w:noProof/>
          <w:sz w:val="24"/>
          <w:lang w:eastAsia="it-IT"/>
        </w:rPr>
        <w:t xml:space="preserve">La </w:t>
      </w:r>
      <w:r w:rsidRPr="00014060">
        <w:rPr>
          <w:b/>
          <w:noProof/>
          <w:sz w:val="24"/>
          <w:lang w:eastAsia="it-IT"/>
        </w:rPr>
        <w:t>Campania</w:t>
      </w:r>
      <w:r>
        <w:rPr>
          <w:noProof/>
          <w:sz w:val="24"/>
          <w:lang w:eastAsia="it-IT"/>
        </w:rPr>
        <w:t xml:space="preserve"> è tra le regioni del Sud quella che riceve il maggior numero di erogazioni, </w:t>
      </w:r>
      <w:r w:rsidRPr="00014060">
        <w:rPr>
          <w:b/>
          <w:noProof/>
          <w:sz w:val="24"/>
          <w:lang w:eastAsia="it-IT"/>
        </w:rPr>
        <w:t>3,4 milioni</w:t>
      </w:r>
      <w:r w:rsidR="00014060" w:rsidRPr="00014060">
        <w:rPr>
          <w:b/>
          <w:noProof/>
          <w:sz w:val="24"/>
          <w:lang w:eastAsia="it-IT"/>
        </w:rPr>
        <w:t xml:space="preserve"> il 40% della macroarea regionale</w:t>
      </w:r>
      <w:r w:rsidR="00014060">
        <w:rPr>
          <w:noProof/>
          <w:sz w:val="24"/>
          <w:lang w:eastAsia="it-IT"/>
        </w:rPr>
        <w:t xml:space="preserve">, </w:t>
      </w:r>
      <w:r w:rsidR="00014060" w:rsidRPr="00014060">
        <w:rPr>
          <w:noProof/>
          <w:sz w:val="24"/>
          <w:lang w:eastAsia="it-IT"/>
        </w:rPr>
        <w:t>ma solo l’1% del totale nazionale</w:t>
      </w:r>
      <w:r w:rsidR="00014060">
        <w:rPr>
          <w:noProof/>
          <w:sz w:val="24"/>
          <w:lang w:eastAsia="it-IT"/>
        </w:rPr>
        <w:t xml:space="preserve">. </w:t>
      </w:r>
    </w:p>
    <w:p w:rsidR="00A22DF7" w:rsidRPr="00851F16" w:rsidRDefault="00A22DF7" w:rsidP="00014060">
      <w:pPr>
        <w:spacing w:before="120" w:after="0" w:line="276" w:lineRule="auto"/>
        <w:jc w:val="both"/>
        <w:rPr>
          <w:noProof/>
          <w:sz w:val="24"/>
          <w:lang w:eastAsia="it-IT"/>
        </w:rPr>
      </w:pPr>
      <w:r>
        <w:rPr>
          <w:noProof/>
          <w:sz w:val="24"/>
          <w:lang w:eastAsia="it-IT"/>
        </w:rPr>
        <w:lastRenderedPageBreak/>
        <w:t>L’efficacia di Art bonus è però molto diversa nei territori: b</w:t>
      </w:r>
      <w:r w:rsidRPr="00851F16">
        <w:rPr>
          <w:noProof/>
          <w:sz w:val="24"/>
          <w:lang w:eastAsia="it-IT"/>
        </w:rPr>
        <w:t xml:space="preserve">en </w:t>
      </w:r>
      <w:r w:rsidRPr="00851F16">
        <w:rPr>
          <w:b/>
          <w:noProof/>
          <w:sz w:val="24"/>
          <w:lang w:eastAsia="it-IT"/>
        </w:rPr>
        <w:t>l’81% delle erogazioni</w:t>
      </w:r>
      <w:r w:rsidRPr="00851F16">
        <w:rPr>
          <w:noProof/>
          <w:sz w:val="24"/>
          <w:lang w:eastAsia="it-IT"/>
        </w:rPr>
        <w:t xml:space="preserve">, infatti, </w:t>
      </w:r>
      <w:r w:rsidRPr="00851F16">
        <w:rPr>
          <w:b/>
          <w:noProof/>
          <w:sz w:val="24"/>
          <w:lang w:eastAsia="it-IT"/>
        </w:rPr>
        <w:t>si ferma al Nord</w:t>
      </w:r>
      <w:r w:rsidRPr="00851F16">
        <w:rPr>
          <w:noProof/>
          <w:sz w:val="24"/>
          <w:lang w:eastAsia="it-IT"/>
        </w:rPr>
        <w:t xml:space="preserve">, al </w:t>
      </w:r>
      <w:r w:rsidRPr="00851F16">
        <w:rPr>
          <w:b/>
          <w:noProof/>
          <w:sz w:val="24"/>
          <w:lang w:eastAsia="it-IT"/>
        </w:rPr>
        <w:t>Centro</w:t>
      </w:r>
      <w:r w:rsidRPr="00851F16">
        <w:rPr>
          <w:noProof/>
          <w:sz w:val="24"/>
          <w:lang w:eastAsia="it-IT"/>
        </w:rPr>
        <w:t xml:space="preserve"> ne è destinato il </w:t>
      </w:r>
      <w:r w:rsidR="00B76040">
        <w:rPr>
          <w:b/>
          <w:noProof/>
          <w:sz w:val="24"/>
          <w:lang w:eastAsia="it-IT"/>
        </w:rPr>
        <w:t>17</w:t>
      </w:r>
      <w:r w:rsidRPr="00851F16">
        <w:rPr>
          <w:noProof/>
          <w:sz w:val="24"/>
          <w:lang w:eastAsia="it-IT"/>
        </w:rPr>
        <w:t xml:space="preserve">% e appena </w:t>
      </w:r>
      <w:r w:rsidRPr="00851F16">
        <w:rPr>
          <w:b/>
          <w:noProof/>
          <w:sz w:val="24"/>
          <w:lang w:eastAsia="it-IT"/>
        </w:rPr>
        <w:t xml:space="preserve">il </w:t>
      </w:r>
      <w:r w:rsidR="00B76040">
        <w:rPr>
          <w:b/>
          <w:noProof/>
          <w:sz w:val="24"/>
          <w:lang w:eastAsia="it-IT"/>
        </w:rPr>
        <w:t>2</w:t>
      </w:r>
      <w:r w:rsidRPr="00851F16">
        <w:rPr>
          <w:b/>
          <w:noProof/>
          <w:sz w:val="24"/>
          <w:lang w:eastAsia="it-IT"/>
        </w:rPr>
        <w:t>% arriva fino al Sud e alle Isole</w:t>
      </w:r>
      <w:r w:rsidRPr="00851F16">
        <w:rPr>
          <w:noProof/>
          <w:sz w:val="24"/>
          <w:lang w:eastAsia="it-IT"/>
        </w:rPr>
        <w:t xml:space="preserve">. </w:t>
      </w:r>
    </w:p>
    <w:p w:rsidR="00A22DF7" w:rsidRPr="00E13371" w:rsidRDefault="00A22DF7" w:rsidP="00A22DF7">
      <w:pPr>
        <w:spacing w:after="0" w:line="240" w:lineRule="auto"/>
        <w:jc w:val="both"/>
        <w:rPr>
          <w:noProof/>
          <w:lang w:eastAsia="it-IT"/>
        </w:rPr>
      </w:pPr>
    </w:p>
    <w:p w:rsidR="00A22DF7" w:rsidRPr="00E13371" w:rsidRDefault="00A22DF7" w:rsidP="00A22DF7">
      <w:pPr>
        <w:spacing w:after="0" w:line="240" w:lineRule="auto"/>
        <w:jc w:val="center"/>
        <w:rPr>
          <w:noProof/>
          <w:sz w:val="24"/>
          <w:lang w:eastAsia="it-IT"/>
        </w:rPr>
      </w:pPr>
      <w:r w:rsidRPr="00E13371">
        <w:rPr>
          <w:b/>
          <w:noProof/>
          <w:lang w:eastAsia="it-IT"/>
        </w:rPr>
        <w:t xml:space="preserve">Art bonus, distribuzione territoriale delle erogazioni </w:t>
      </w:r>
      <w:r w:rsidRPr="00E13371">
        <w:rPr>
          <w:noProof/>
          <w:lang w:eastAsia="it-IT"/>
        </w:rPr>
        <w:t>– 201</w:t>
      </w:r>
      <w:r w:rsidR="00D943E2">
        <w:rPr>
          <w:noProof/>
          <w:lang w:eastAsia="it-IT"/>
        </w:rPr>
        <w:t>9</w:t>
      </w:r>
      <w:r>
        <w:rPr>
          <w:noProof/>
          <w:lang w:eastAsia="it-IT"/>
        </w:rPr>
        <w:t xml:space="preserve"> </w:t>
      </w:r>
      <w:r w:rsidRPr="00AD4A8A">
        <w:rPr>
          <w:i/>
          <w:noProof/>
          <w:lang w:eastAsia="it-IT"/>
        </w:rPr>
        <w:t>(valori percentuali)</w:t>
      </w:r>
    </w:p>
    <w:p w:rsidR="00A22DF7" w:rsidRPr="00E13371" w:rsidRDefault="00B76040" w:rsidP="00A22DF7">
      <w:pPr>
        <w:spacing w:after="120" w:line="240" w:lineRule="auto"/>
        <w:jc w:val="center"/>
        <w:rPr>
          <w:noProof/>
          <w:lang w:eastAsia="it-IT"/>
        </w:rPr>
      </w:pPr>
      <w:r>
        <w:rPr>
          <w:noProof/>
          <w:lang w:eastAsia="it-IT"/>
        </w:rPr>
        <w:drawing>
          <wp:inline distT="0" distB="0" distL="0" distR="0" wp14:anchorId="1311053A" wp14:editId="627C9127">
            <wp:extent cx="4572000" cy="2743200"/>
            <wp:effectExtent l="0" t="0" r="0" b="0"/>
            <wp:docPr id="39" name="Grafico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22DF7" w:rsidRPr="00BB57CE" w:rsidRDefault="00A22DF7" w:rsidP="00A22DF7">
      <w:pPr>
        <w:spacing w:after="0" w:line="276" w:lineRule="auto"/>
        <w:jc w:val="center"/>
        <w:rPr>
          <w:rFonts w:eastAsia="Times New Roman" w:cs="Arial"/>
          <w:color w:val="000000"/>
          <w:sz w:val="20"/>
          <w:szCs w:val="20"/>
          <w:lang w:eastAsia="it-IT"/>
        </w:rPr>
      </w:pPr>
      <w:r w:rsidRPr="00E13371">
        <w:rPr>
          <w:sz w:val="18"/>
        </w:rPr>
        <w:t xml:space="preserve">Fonte: elaborazioni Federculture su dati Art bonus </w:t>
      </w:r>
      <w:r w:rsidRPr="00E13371">
        <w:rPr>
          <w:i/>
          <w:sz w:val="18"/>
        </w:rPr>
        <w:t xml:space="preserve">(a </w:t>
      </w:r>
      <w:r w:rsidR="00B76040">
        <w:rPr>
          <w:i/>
          <w:sz w:val="18"/>
        </w:rPr>
        <w:t>ottobre</w:t>
      </w:r>
      <w:r w:rsidRPr="00E13371">
        <w:rPr>
          <w:i/>
          <w:sz w:val="18"/>
        </w:rPr>
        <w:t xml:space="preserve"> 201</w:t>
      </w:r>
      <w:r w:rsidR="00B76040">
        <w:rPr>
          <w:i/>
          <w:sz w:val="18"/>
        </w:rPr>
        <w:t>9</w:t>
      </w:r>
      <w:r w:rsidRPr="00E13371">
        <w:rPr>
          <w:i/>
          <w:sz w:val="18"/>
        </w:rPr>
        <w:t>)</w:t>
      </w:r>
    </w:p>
    <w:p w:rsidR="001B47F9" w:rsidRDefault="001B47F9" w:rsidP="00317DB1">
      <w:pPr>
        <w:spacing w:after="0" w:line="276" w:lineRule="auto"/>
        <w:jc w:val="both"/>
        <w:rPr>
          <w:noProof/>
          <w:sz w:val="24"/>
          <w:lang w:eastAsia="it-IT"/>
        </w:rPr>
      </w:pPr>
    </w:p>
    <w:p w:rsidR="00317DB1" w:rsidRDefault="00317DB1" w:rsidP="00317DB1">
      <w:pPr>
        <w:spacing w:after="0" w:line="276" w:lineRule="auto"/>
        <w:jc w:val="both"/>
        <w:rPr>
          <w:noProof/>
          <w:sz w:val="24"/>
          <w:lang w:eastAsia="it-IT"/>
        </w:rPr>
      </w:pPr>
    </w:p>
    <w:p w:rsidR="00317DB1" w:rsidRPr="00317DB1" w:rsidRDefault="00317DB1" w:rsidP="00317DB1">
      <w:pPr>
        <w:spacing w:after="0" w:line="276" w:lineRule="auto"/>
        <w:jc w:val="both"/>
        <w:rPr>
          <w:noProof/>
          <w:sz w:val="24"/>
          <w:lang w:eastAsia="it-IT"/>
        </w:rPr>
      </w:pPr>
    </w:p>
    <w:p w:rsidR="00592CDB" w:rsidRDefault="00317DB1" w:rsidP="001B47F9">
      <w:pPr>
        <w:spacing w:after="0" w:line="276" w:lineRule="auto"/>
        <w:jc w:val="both"/>
        <w:rPr>
          <w:b/>
          <w:noProof/>
          <w:sz w:val="24"/>
          <w:lang w:eastAsia="it-IT"/>
        </w:rPr>
      </w:pPr>
      <w:r w:rsidRPr="00317DB1">
        <w:rPr>
          <w:noProof/>
          <w:sz w:val="24"/>
          <w:lang w:eastAsia="it-IT"/>
        </w:rPr>
        <w:t xml:space="preserve">Altro attore fondamentale per il settore si confermano le </w:t>
      </w:r>
      <w:r w:rsidR="00062E5E" w:rsidRPr="001B47F9">
        <w:rPr>
          <w:b/>
          <w:noProof/>
          <w:sz w:val="24"/>
          <w:lang w:eastAsia="it-IT"/>
        </w:rPr>
        <w:t>fondazioni bancarie</w:t>
      </w:r>
      <w:r w:rsidR="00062E5E" w:rsidRPr="00317DB1">
        <w:rPr>
          <w:noProof/>
          <w:sz w:val="24"/>
          <w:lang w:eastAsia="it-IT"/>
        </w:rPr>
        <w:t xml:space="preserve"> </w:t>
      </w:r>
      <w:r w:rsidRPr="00317DB1">
        <w:rPr>
          <w:noProof/>
          <w:sz w:val="24"/>
          <w:lang w:eastAsia="it-IT"/>
        </w:rPr>
        <w:t xml:space="preserve">che sostengono arte, attività e beni culturali con cifre importanti - quasi </w:t>
      </w:r>
      <w:r w:rsidRPr="001B47F9">
        <w:rPr>
          <w:b/>
          <w:noProof/>
          <w:sz w:val="24"/>
          <w:lang w:eastAsia="it-IT"/>
        </w:rPr>
        <w:t>256 milioni nel 2018 pari al 25% del totale</w:t>
      </w:r>
      <w:r w:rsidRPr="00317DB1">
        <w:rPr>
          <w:noProof/>
          <w:sz w:val="24"/>
          <w:lang w:eastAsia="it-IT"/>
        </w:rPr>
        <w:t xml:space="preserve"> delle erogazioni, primo settore d'intervento - che, dopo un vistoso calo negli ultimi anni, nel 2018 sono torn</w:t>
      </w:r>
      <w:r>
        <w:rPr>
          <w:noProof/>
          <w:sz w:val="24"/>
          <w:lang w:eastAsia="it-IT"/>
        </w:rPr>
        <w:t xml:space="preserve">ate a crescere segnando un </w:t>
      </w:r>
      <w:r w:rsidRPr="001B47F9">
        <w:rPr>
          <w:b/>
          <w:noProof/>
          <w:sz w:val="24"/>
          <w:lang w:eastAsia="it-IT"/>
        </w:rPr>
        <w:t>+8%.</w:t>
      </w:r>
    </w:p>
    <w:p w:rsidR="001B47F9" w:rsidRDefault="001B47F9" w:rsidP="001B47F9">
      <w:pPr>
        <w:spacing w:after="0" w:line="276" w:lineRule="auto"/>
        <w:jc w:val="both"/>
        <w:rPr>
          <w:noProof/>
          <w:sz w:val="24"/>
          <w:lang w:eastAsia="it-IT"/>
        </w:rPr>
      </w:pPr>
    </w:p>
    <w:tbl>
      <w:tblPr>
        <w:tblW w:w="10060" w:type="dxa"/>
        <w:tblLayout w:type="fixed"/>
        <w:tblCellMar>
          <w:left w:w="70" w:type="dxa"/>
          <w:right w:w="70" w:type="dxa"/>
        </w:tblCellMar>
        <w:tblLook w:val="04A0" w:firstRow="1" w:lastRow="0" w:firstColumn="1" w:lastColumn="0" w:noHBand="0" w:noVBand="1"/>
      </w:tblPr>
      <w:tblGrid>
        <w:gridCol w:w="1555"/>
        <w:gridCol w:w="773"/>
        <w:gridCol w:w="773"/>
        <w:gridCol w:w="773"/>
        <w:gridCol w:w="773"/>
        <w:gridCol w:w="773"/>
        <w:gridCol w:w="774"/>
        <w:gridCol w:w="773"/>
        <w:gridCol w:w="773"/>
        <w:gridCol w:w="773"/>
        <w:gridCol w:w="773"/>
        <w:gridCol w:w="56"/>
        <w:gridCol w:w="718"/>
      </w:tblGrid>
      <w:tr w:rsidR="00317DB1" w:rsidRPr="00317DB1" w:rsidTr="00317DB1">
        <w:trPr>
          <w:trHeight w:val="540"/>
        </w:trPr>
        <w:tc>
          <w:tcPr>
            <w:tcW w:w="9342" w:type="dxa"/>
            <w:gridSpan w:val="12"/>
            <w:tcBorders>
              <w:top w:val="single" w:sz="4" w:space="0" w:color="auto"/>
              <w:left w:val="single" w:sz="4" w:space="0" w:color="auto"/>
              <w:bottom w:val="single" w:sz="4" w:space="0" w:color="auto"/>
              <w:right w:val="nil"/>
            </w:tcBorders>
            <w:shd w:val="clear" w:color="000000" w:fill="FFFFFF"/>
            <w:vAlign w:val="center"/>
            <w:hideMark/>
          </w:tcPr>
          <w:p w:rsidR="00317DB1" w:rsidRPr="00317DB1" w:rsidRDefault="00317DB1" w:rsidP="00317DB1">
            <w:pPr>
              <w:spacing w:after="0" w:line="240" w:lineRule="auto"/>
              <w:jc w:val="center"/>
              <w:rPr>
                <w:rFonts w:eastAsia="Times New Roman" w:cstheme="minorHAnsi"/>
                <w:b/>
                <w:bCs/>
                <w:sz w:val="18"/>
                <w:szCs w:val="20"/>
                <w:lang w:eastAsia="it-IT"/>
              </w:rPr>
            </w:pPr>
            <w:r w:rsidRPr="00317DB1">
              <w:rPr>
                <w:rFonts w:eastAsia="Times New Roman" w:cstheme="minorHAnsi"/>
                <w:b/>
                <w:bCs/>
                <w:szCs w:val="20"/>
                <w:lang w:eastAsia="it-IT"/>
              </w:rPr>
              <w:t xml:space="preserve">Le erogazioni delle Fondazioni bancarie per la cultura </w:t>
            </w:r>
            <w:r w:rsidRPr="00317DB1">
              <w:rPr>
                <w:rFonts w:eastAsia="Times New Roman" w:cstheme="minorHAnsi"/>
                <w:i/>
                <w:iCs/>
                <w:szCs w:val="20"/>
                <w:lang w:eastAsia="it-IT"/>
              </w:rPr>
              <w:t>(milioni di euro)</w:t>
            </w:r>
          </w:p>
        </w:tc>
        <w:tc>
          <w:tcPr>
            <w:tcW w:w="718" w:type="dxa"/>
            <w:tcBorders>
              <w:top w:val="single" w:sz="4" w:space="0" w:color="auto"/>
              <w:left w:val="nil"/>
              <w:bottom w:val="single" w:sz="4" w:space="0" w:color="auto"/>
              <w:right w:val="single" w:sz="4" w:space="0" w:color="auto"/>
            </w:tcBorders>
            <w:shd w:val="clear" w:color="000000" w:fill="FFFFFF"/>
            <w:noWrap/>
            <w:vAlign w:val="bottom"/>
            <w:hideMark/>
          </w:tcPr>
          <w:p w:rsidR="00317DB1" w:rsidRPr="00317DB1" w:rsidRDefault="00317DB1" w:rsidP="00317DB1">
            <w:pPr>
              <w:spacing w:after="0" w:line="240" w:lineRule="auto"/>
              <w:rPr>
                <w:rFonts w:eastAsia="Times New Roman" w:cstheme="minorHAnsi"/>
                <w:color w:val="000000"/>
                <w:sz w:val="18"/>
                <w:lang w:eastAsia="it-IT"/>
              </w:rPr>
            </w:pPr>
            <w:r w:rsidRPr="00317DB1">
              <w:rPr>
                <w:rFonts w:eastAsia="Times New Roman" w:cstheme="minorHAnsi"/>
                <w:color w:val="000000"/>
                <w:sz w:val="18"/>
                <w:lang w:eastAsia="it-IT"/>
              </w:rPr>
              <w:t> </w:t>
            </w:r>
          </w:p>
        </w:tc>
      </w:tr>
      <w:tr w:rsidR="00317DB1" w:rsidRPr="00317DB1" w:rsidTr="00317DB1">
        <w:trPr>
          <w:trHeight w:val="300"/>
        </w:trPr>
        <w:tc>
          <w:tcPr>
            <w:tcW w:w="1555" w:type="dxa"/>
            <w:tcBorders>
              <w:top w:val="nil"/>
              <w:left w:val="single" w:sz="4" w:space="0" w:color="auto"/>
              <w:bottom w:val="single" w:sz="4" w:space="0" w:color="auto"/>
              <w:right w:val="single" w:sz="4" w:space="0" w:color="auto"/>
            </w:tcBorders>
            <w:shd w:val="clear" w:color="000000" w:fill="FFFFFF"/>
            <w:vAlign w:val="center"/>
            <w:hideMark/>
          </w:tcPr>
          <w:p w:rsidR="00317DB1" w:rsidRPr="00317DB1" w:rsidRDefault="00317DB1" w:rsidP="00317DB1">
            <w:pPr>
              <w:spacing w:after="0" w:line="240" w:lineRule="auto"/>
              <w:rPr>
                <w:rFonts w:eastAsia="Times New Roman" w:cstheme="minorHAnsi"/>
                <w:color w:val="000000"/>
                <w:sz w:val="18"/>
                <w:szCs w:val="20"/>
                <w:lang w:eastAsia="it-IT"/>
              </w:rPr>
            </w:pPr>
            <w:r w:rsidRPr="00317DB1">
              <w:rPr>
                <w:rFonts w:eastAsia="Times New Roman" w:cstheme="minorHAnsi"/>
                <w:color w:val="000000"/>
                <w:sz w:val="18"/>
                <w:szCs w:val="20"/>
                <w:lang w:eastAsia="it-IT"/>
              </w:rPr>
              <w:t xml:space="preserve">  </w:t>
            </w:r>
          </w:p>
        </w:tc>
        <w:tc>
          <w:tcPr>
            <w:tcW w:w="773" w:type="dxa"/>
            <w:tcBorders>
              <w:top w:val="nil"/>
              <w:left w:val="nil"/>
              <w:bottom w:val="single" w:sz="4" w:space="0" w:color="auto"/>
              <w:right w:val="single" w:sz="4" w:space="0" w:color="auto"/>
            </w:tcBorders>
            <w:shd w:val="clear" w:color="000000" w:fill="FFFFFF"/>
            <w:vAlign w:val="center"/>
            <w:hideMark/>
          </w:tcPr>
          <w:p w:rsidR="00317DB1" w:rsidRPr="00317DB1" w:rsidRDefault="00317DB1" w:rsidP="00317DB1">
            <w:pPr>
              <w:spacing w:after="0" w:line="240" w:lineRule="auto"/>
              <w:jc w:val="center"/>
              <w:rPr>
                <w:rFonts w:eastAsia="Times New Roman" w:cstheme="minorHAnsi"/>
                <w:b/>
                <w:bCs/>
                <w:color w:val="000000"/>
                <w:sz w:val="18"/>
                <w:szCs w:val="20"/>
                <w:lang w:eastAsia="it-IT"/>
              </w:rPr>
            </w:pPr>
            <w:r w:rsidRPr="00317DB1">
              <w:rPr>
                <w:rFonts w:eastAsia="Times New Roman" w:cstheme="minorHAnsi"/>
                <w:b/>
                <w:bCs/>
                <w:color w:val="000000"/>
                <w:sz w:val="18"/>
                <w:szCs w:val="20"/>
                <w:lang w:eastAsia="it-IT"/>
              </w:rPr>
              <w:t>2008</w:t>
            </w:r>
          </w:p>
        </w:tc>
        <w:tc>
          <w:tcPr>
            <w:tcW w:w="773" w:type="dxa"/>
            <w:tcBorders>
              <w:top w:val="nil"/>
              <w:left w:val="nil"/>
              <w:bottom w:val="single" w:sz="4" w:space="0" w:color="auto"/>
              <w:right w:val="single" w:sz="4" w:space="0" w:color="auto"/>
            </w:tcBorders>
            <w:shd w:val="clear" w:color="000000" w:fill="FFFFFF"/>
            <w:vAlign w:val="center"/>
            <w:hideMark/>
          </w:tcPr>
          <w:p w:rsidR="00317DB1" w:rsidRPr="00317DB1" w:rsidRDefault="00317DB1" w:rsidP="00317DB1">
            <w:pPr>
              <w:spacing w:after="0" w:line="240" w:lineRule="auto"/>
              <w:jc w:val="center"/>
              <w:rPr>
                <w:rFonts w:eastAsia="Times New Roman" w:cstheme="minorHAnsi"/>
                <w:b/>
                <w:bCs/>
                <w:color w:val="000000"/>
                <w:sz w:val="18"/>
                <w:szCs w:val="20"/>
                <w:lang w:eastAsia="it-IT"/>
              </w:rPr>
            </w:pPr>
            <w:r w:rsidRPr="00317DB1">
              <w:rPr>
                <w:rFonts w:eastAsia="Times New Roman" w:cstheme="minorHAnsi"/>
                <w:b/>
                <w:bCs/>
                <w:color w:val="000000"/>
                <w:sz w:val="18"/>
                <w:szCs w:val="20"/>
                <w:lang w:eastAsia="it-IT"/>
              </w:rPr>
              <w:t>2009</w:t>
            </w:r>
          </w:p>
        </w:tc>
        <w:tc>
          <w:tcPr>
            <w:tcW w:w="773" w:type="dxa"/>
            <w:tcBorders>
              <w:top w:val="nil"/>
              <w:left w:val="nil"/>
              <w:bottom w:val="single" w:sz="4" w:space="0" w:color="auto"/>
              <w:right w:val="single" w:sz="4" w:space="0" w:color="auto"/>
            </w:tcBorders>
            <w:shd w:val="clear" w:color="000000" w:fill="FFFFFF"/>
            <w:vAlign w:val="center"/>
            <w:hideMark/>
          </w:tcPr>
          <w:p w:rsidR="00317DB1" w:rsidRPr="00317DB1" w:rsidRDefault="00317DB1" w:rsidP="00317DB1">
            <w:pPr>
              <w:spacing w:after="0" w:line="240" w:lineRule="auto"/>
              <w:jc w:val="center"/>
              <w:rPr>
                <w:rFonts w:eastAsia="Times New Roman" w:cstheme="minorHAnsi"/>
                <w:b/>
                <w:bCs/>
                <w:color w:val="000000"/>
                <w:sz w:val="18"/>
                <w:szCs w:val="20"/>
                <w:lang w:eastAsia="it-IT"/>
              </w:rPr>
            </w:pPr>
            <w:r w:rsidRPr="00317DB1">
              <w:rPr>
                <w:rFonts w:eastAsia="Times New Roman" w:cstheme="minorHAnsi"/>
                <w:b/>
                <w:bCs/>
                <w:color w:val="000000"/>
                <w:sz w:val="18"/>
                <w:szCs w:val="20"/>
                <w:lang w:eastAsia="it-IT"/>
              </w:rPr>
              <w:t>2010</w:t>
            </w:r>
          </w:p>
        </w:tc>
        <w:tc>
          <w:tcPr>
            <w:tcW w:w="773" w:type="dxa"/>
            <w:tcBorders>
              <w:top w:val="nil"/>
              <w:left w:val="nil"/>
              <w:bottom w:val="single" w:sz="4" w:space="0" w:color="auto"/>
              <w:right w:val="single" w:sz="4" w:space="0" w:color="auto"/>
            </w:tcBorders>
            <w:shd w:val="clear" w:color="000000" w:fill="FFFFFF"/>
            <w:vAlign w:val="center"/>
            <w:hideMark/>
          </w:tcPr>
          <w:p w:rsidR="00317DB1" w:rsidRPr="00317DB1" w:rsidRDefault="00317DB1" w:rsidP="00317DB1">
            <w:pPr>
              <w:spacing w:after="0" w:line="240" w:lineRule="auto"/>
              <w:jc w:val="center"/>
              <w:rPr>
                <w:rFonts w:eastAsia="Times New Roman" w:cstheme="minorHAnsi"/>
                <w:b/>
                <w:bCs/>
                <w:color w:val="000000"/>
                <w:sz w:val="18"/>
                <w:szCs w:val="20"/>
                <w:lang w:eastAsia="it-IT"/>
              </w:rPr>
            </w:pPr>
            <w:r w:rsidRPr="00317DB1">
              <w:rPr>
                <w:rFonts w:eastAsia="Times New Roman" w:cstheme="minorHAnsi"/>
                <w:b/>
                <w:bCs/>
                <w:color w:val="000000"/>
                <w:sz w:val="18"/>
                <w:szCs w:val="20"/>
                <w:lang w:eastAsia="it-IT"/>
              </w:rPr>
              <w:t>2011</w:t>
            </w:r>
          </w:p>
        </w:tc>
        <w:tc>
          <w:tcPr>
            <w:tcW w:w="773" w:type="dxa"/>
            <w:tcBorders>
              <w:top w:val="nil"/>
              <w:left w:val="nil"/>
              <w:bottom w:val="single" w:sz="4" w:space="0" w:color="auto"/>
              <w:right w:val="single" w:sz="4" w:space="0" w:color="auto"/>
            </w:tcBorders>
            <w:shd w:val="clear" w:color="000000" w:fill="FFFFFF"/>
            <w:vAlign w:val="center"/>
            <w:hideMark/>
          </w:tcPr>
          <w:p w:rsidR="00317DB1" w:rsidRPr="00317DB1" w:rsidRDefault="00317DB1" w:rsidP="00317DB1">
            <w:pPr>
              <w:spacing w:after="0" w:line="240" w:lineRule="auto"/>
              <w:jc w:val="center"/>
              <w:rPr>
                <w:rFonts w:eastAsia="Times New Roman" w:cstheme="minorHAnsi"/>
                <w:b/>
                <w:bCs/>
                <w:color w:val="000000"/>
                <w:sz w:val="18"/>
                <w:szCs w:val="20"/>
                <w:lang w:eastAsia="it-IT"/>
              </w:rPr>
            </w:pPr>
            <w:r w:rsidRPr="00317DB1">
              <w:rPr>
                <w:rFonts w:eastAsia="Times New Roman" w:cstheme="minorHAnsi"/>
                <w:b/>
                <w:bCs/>
                <w:color w:val="000000"/>
                <w:sz w:val="18"/>
                <w:szCs w:val="20"/>
                <w:lang w:eastAsia="it-IT"/>
              </w:rPr>
              <w:t>2012</w:t>
            </w:r>
          </w:p>
        </w:tc>
        <w:tc>
          <w:tcPr>
            <w:tcW w:w="774" w:type="dxa"/>
            <w:tcBorders>
              <w:top w:val="nil"/>
              <w:left w:val="nil"/>
              <w:bottom w:val="single" w:sz="4" w:space="0" w:color="auto"/>
              <w:right w:val="single" w:sz="4" w:space="0" w:color="auto"/>
            </w:tcBorders>
            <w:shd w:val="clear" w:color="000000" w:fill="FFFFFF"/>
            <w:vAlign w:val="center"/>
            <w:hideMark/>
          </w:tcPr>
          <w:p w:rsidR="00317DB1" w:rsidRPr="00317DB1" w:rsidRDefault="00317DB1" w:rsidP="00317DB1">
            <w:pPr>
              <w:spacing w:after="0" w:line="240" w:lineRule="auto"/>
              <w:jc w:val="center"/>
              <w:rPr>
                <w:rFonts w:eastAsia="Times New Roman" w:cstheme="minorHAnsi"/>
                <w:b/>
                <w:bCs/>
                <w:color w:val="000000"/>
                <w:sz w:val="18"/>
                <w:szCs w:val="20"/>
                <w:lang w:eastAsia="it-IT"/>
              </w:rPr>
            </w:pPr>
            <w:r w:rsidRPr="00317DB1">
              <w:rPr>
                <w:rFonts w:eastAsia="Times New Roman" w:cstheme="minorHAnsi"/>
                <w:b/>
                <w:bCs/>
                <w:color w:val="000000"/>
                <w:sz w:val="18"/>
                <w:szCs w:val="20"/>
                <w:lang w:eastAsia="it-IT"/>
              </w:rPr>
              <w:t>2013</w:t>
            </w:r>
          </w:p>
        </w:tc>
        <w:tc>
          <w:tcPr>
            <w:tcW w:w="773" w:type="dxa"/>
            <w:tcBorders>
              <w:top w:val="nil"/>
              <w:left w:val="nil"/>
              <w:bottom w:val="single" w:sz="4" w:space="0" w:color="auto"/>
              <w:right w:val="single" w:sz="4" w:space="0" w:color="auto"/>
            </w:tcBorders>
            <w:shd w:val="clear" w:color="000000" w:fill="FFFFFF"/>
            <w:vAlign w:val="center"/>
            <w:hideMark/>
          </w:tcPr>
          <w:p w:rsidR="00317DB1" w:rsidRPr="00317DB1" w:rsidRDefault="00317DB1" w:rsidP="00317DB1">
            <w:pPr>
              <w:spacing w:after="0" w:line="240" w:lineRule="auto"/>
              <w:jc w:val="center"/>
              <w:rPr>
                <w:rFonts w:eastAsia="Times New Roman" w:cstheme="minorHAnsi"/>
                <w:b/>
                <w:bCs/>
                <w:color w:val="000000"/>
                <w:sz w:val="18"/>
                <w:szCs w:val="20"/>
                <w:lang w:eastAsia="it-IT"/>
              </w:rPr>
            </w:pPr>
            <w:r w:rsidRPr="00317DB1">
              <w:rPr>
                <w:rFonts w:eastAsia="Times New Roman" w:cstheme="minorHAnsi"/>
                <w:b/>
                <w:bCs/>
                <w:color w:val="000000"/>
                <w:sz w:val="18"/>
                <w:szCs w:val="20"/>
                <w:lang w:eastAsia="it-IT"/>
              </w:rPr>
              <w:t>2014</w:t>
            </w:r>
          </w:p>
        </w:tc>
        <w:tc>
          <w:tcPr>
            <w:tcW w:w="773" w:type="dxa"/>
            <w:tcBorders>
              <w:top w:val="nil"/>
              <w:left w:val="nil"/>
              <w:bottom w:val="single" w:sz="4" w:space="0" w:color="auto"/>
              <w:right w:val="single" w:sz="4" w:space="0" w:color="auto"/>
            </w:tcBorders>
            <w:shd w:val="clear" w:color="000000" w:fill="FFFFFF"/>
            <w:vAlign w:val="center"/>
            <w:hideMark/>
          </w:tcPr>
          <w:p w:rsidR="00317DB1" w:rsidRPr="00317DB1" w:rsidRDefault="00317DB1" w:rsidP="00317DB1">
            <w:pPr>
              <w:spacing w:after="0" w:line="240" w:lineRule="auto"/>
              <w:jc w:val="center"/>
              <w:rPr>
                <w:rFonts w:eastAsia="Times New Roman" w:cstheme="minorHAnsi"/>
                <w:b/>
                <w:bCs/>
                <w:color w:val="000000"/>
                <w:sz w:val="18"/>
                <w:szCs w:val="20"/>
                <w:lang w:eastAsia="it-IT"/>
              </w:rPr>
            </w:pPr>
            <w:r w:rsidRPr="00317DB1">
              <w:rPr>
                <w:rFonts w:eastAsia="Times New Roman" w:cstheme="minorHAnsi"/>
                <w:b/>
                <w:bCs/>
                <w:color w:val="000000"/>
                <w:sz w:val="18"/>
                <w:szCs w:val="20"/>
                <w:lang w:eastAsia="it-IT"/>
              </w:rPr>
              <w:t>2015</w:t>
            </w:r>
          </w:p>
        </w:tc>
        <w:tc>
          <w:tcPr>
            <w:tcW w:w="773" w:type="dxa"/>
            <w:tcBorders>
              <w:top w:val="nil"/>
              <w:left w:val="nil"/>
              <w:bottom w:val="single" w:sz="4" w:space="0" w:color="auto"/>
              <w:right w:val="single" w:sz="4" w:space="0" w:color="auto"/>
            </w:tcBorders>
            <w:shd w:val="clear" w:color="000000" w:fill="FFFFFF"/>
            <w:vAlign w:val="center"/>
            <w:hideMark/>
          </w:tcPr>
          <w:p w:rsidR="00317DB1" w:rsidRPr="00317DB1" w:rsidRDefault="00317DB1" w:rsidP="00317DB1">
            <w:pPr>
              <w:spacing w:after="0" w:line="240" w:lineRule="auto"/>
              <w:jc w:val="center"/>
              <w:rPr>
                <w:rFonts w:eastAsia="Times New Roman" w:cstheme="minorHAnsi"/>
                <w:b/>
                <w:bCs/>
                <w:color w:val="000000"/>
                <w:sz w:val="18"/>
                <w:szCs w:val="20"/>
                <w:lang w:eastAsia="it-IT"/>
              </w:rPr>
            </w:pPr>
            <w:r w:rsidRPr="00317DB1">
              <w:rPr>
                <w:rFonts w:eastAsia="Times New Roman" w:cstheme="minorHAnsi"/>
                <w:b/>
                <w:bCs/>
                <w:color w:val="000000"/>
                <w:sz w:val="18"/>
                <w:szCs w:val="20"/>
                <w:lang w:eastAsia="it-IT"/>
              </w:rPr>
              <w:t>2016</w:t>
            </w:r>
          </w:p>
        </w:tc>
        <w:tc>
          <w:tcPr>
            <w:tcW w:w="773" w:type="dxa"/>
            <w:tcBorders>
              <w:top w:val="nil"/>
              <w:left w:val="nil"/>
              <w:bottom w:val="single" w:sz="4" w:space="0" w:color="auto"/>
              <w:right w:val="single" w:sz="4" w:space="0" w:color="auto"/>
            </w:tcBorders>
            <w:shd w:val="clear" w:color="000000" w:fill="FFFFFF"/>
            <w:vAlign w:val="center"/>
            <w:hideMark/>
          </w:tcPr>
          <w:p w:rsidR="00317DB1" w:rsidRPr="00317DB1" w:rsidRDefault="00317DB1" w:rsidP="00317DB1">
            <w:pPr>
              <w:spacing w:after="0" w:line="240" w:lineRule="auto"/>
              <w:jc w:val="center"/>
              <w:rPr>
                <w:rFonts w:eastAsia="Times New Roman" w:cstheme="minorHAnsi"/>
                <w:b/>
                <w:bCs/>
                <w:color w:val="000000"/>
                <w:sz w:val="18"/>
                <w:szCs w:val="20"/>
                <w:lang w:eastAsia="it-IT"/>
              </w:rPr>
            </w:pPr>
            <w:r w:rsidRPr="00317DB1">
              <w:rPr>
                <w:rFonts w:eastAsia="Times New Roman" w:cstheme="minorHAnsi"/>
                <w:b/>
                <w:bCs/>
                <w:color w:val="000000"/>
                <w:sz w:val="18"/>
                <w:szCs w:val="20"/>
                <w:lang w:eastAsia="it-IT"/>
              </w:rPr>
              <w:t>2017</w:t>
            </w:r>
          </w:p>
        </w:tc>
        <w:tc>
          <w:tcPr>
            <w:tcW w:w="774" w:type="dxa"/>
            <w:gridSpan w:val="2"/>
            <w:tcBorders>
              <w:top w:val="nil"/>
              <w:left w:val="nil"/>
              <w:bottom w:val="single" w:sz="4" w:space="0" w:color="auto"/>
              <w:right w:val="single" w:sz="4" w:space="0" w:color="auto"/>
            </w:tcBorders>
            <w:shd w:val="clear" w:color="000000" w:fill="FFFFFF"/>
            <w:vAlign w:val="center"/>
            <w:hideMark/>
          </w:tcPr>
          <w:p w:rsidR="00317DB1" w:rsidRPr="00317DB1" w:rsidRDefault="00317DB1" w:rsidP="00317DB1">
            <w:pPr>
              <w:spacing w:after="0" w:line="240" w:lineRule="auto"/>
              <w:jc w:val="center"/>
              <w:rPr>
                <w:rFonts w:eastAsia="Times New Roman" w:cstheme="minorHAnsi"/>
                <w:b/>
                <w:bCs/>
                <w:color w:val="000000"/>
                <w:sz w:val="18"/>
                <w:szCs w:val="20"/>
                <w:lang w:eastAsia="it-IT"/>
              </w:rPr>
            </w:pPr>
            <w:r w:rsidRPr="00317DB1">
              <w:rPr>
                <w:rFonts w:eastAsia="Times New Roman" w:cstheme="minorHAnsi"/>
                <w:b/>
                <w:bCs/>
                <w:color w:val="000000"/>
                <w:sz w:val="18"/>
                <w:szCs w:val="20"/>
                <w:lang w:eastAsia="it-IT"/>
              </w:rPr>
              <w:t>2018</w:t>
            </w:r>
          </w:p>
        </w:tc>
      </w:tr>
      <w:tr w:rsidR="00317DB1" w:rsidRPr="00317DB1" w:rsidTr="00317DB1">
        <w:trPr>
          <w:trHeight w:val="510"/>
        </w:trPr>
        <w:tc>
          <w:tcPr>
            <w:tcW w:w="1555" w:type="dxa"/>
            <w:tcBorders>
              <w:top w:val="nil"/>
              <w:left w:val="single" w:sz="4" w:space="0" w:color="auto"/>
              <w:bottom w:val="single" w:sz="4" w:space="0" w:color="auto"/>
              <w:right w:val="single" w:sz="4" w:space="0" w:color="auto"/>
            </w:tcBorders>
            <w:shd w:val="clear" w:color="000000" w:fill="FFFFFF"/>
            <w:vAlign w:val="center"/>
            <w:hideMark/>
          </w:tcPr>
          <w:p w:rsidR="00317DB1" w:rsidRPr="00317DB1" w:rsidRDefault="00317DB1" w:rsidP="00317DB1">
            <w:pPr>
              <w:spacing w:after="0" w:line="240" w:lineRule="auto"/>
              <w:rPr>
                <w:rFonts w:eastAsia="Times New Roman" w:cstheme="minorHAnsi"/>
                <w:b/>
                <w:bCs/>
                <w:color w:val="000000"/>
                <w:sz w:val="18"/>
                <w:szCs w:val="20"/>
                <w:lang w:eastAsia="it-IT"/>
              </w:rPr>
            </w:pPr>
            <w:r w:rsidRPr="00317DB1">
              <w:rPr>
                <w:rFonts w:eastAsia="Times New Roman" w:cstheme="minorHAnsi"/>
                <w:b/>
                <w:bCs/>
                <w:color w:val="000000"/>
                <w:sz w:val="18"/>
                <w:szCs w:val="20"/>
                <w:lang w:eastAsia="it-IT"/>
              </w:rPr>
              <w:t xml:space="preserve">ARTE, ATTIVITA’ E BENI CULTURALI  </w:t>
            </w:r>
          </w:p>
        </w:tc>
        <w:tc>
          <w:tcPr>
            <w:tcW w:w="773" w:type="dxa"/>
            <w:tcBorders>
              <w:top w:val="nil"/>
              <w:left w:val="nil"/>
              <w:bottom w:val="single" w:sz="4" w:space="0" w:color="auto"/>
              <w:right w:val="single" w:sz="4" w:space="0" w:color="auto"/>
            </w:tcBorders>
            <w:shd w:val="clear" w:color="000000" w:fill="FFFFFF"/>
            <w:vAlign w:val="center"/>
            <w:hideMark/>
          </w:tcPr>
          <w:p w:rsidR="00317DB1" w:rsidRPr="00317DB1" w:rsidRDefault="00317DB1" w:rsidP="00317DB1">
            <w:pPr>
              <w:spacing w:after="0" w:line="240" w:lineRule="auto"/>
              <w:jc w:val="center"/>
              <w:rPr>
                <w:rFonts w:eastAsia="Times New Roman" w:cstheme="minorHAnsi"/>
                <w:color w:val="000000"/>
                <w:sz w:val="18"/>
                <w:szCs w:val="20"/>
                <w:lang w:eastAsia="it-IT"/>
              </w:rPr>
            </w:pPr>
            <w:r w:rsidRPr="00317DB1">
              <w:rPr>
                <w:rFonts w:eastAsia="Times New Roman" w:cstheme="minorHAnsi"/>
                <w:color w:val="000000"/>
                <w:sz w:val="18"/>
                <w:szCs w:val="20"/>
                <w:lang w:eastAsia="it-IT"/>
              </w:rPr>
              <w:t>513</w:t>
            </w:r>
          </w:p>
        </w:tc>
        <w:tc>
          <w:tcPr>
            <w:tcW w:w="773" w:type="dxa"/>
            <w:tcBorders>
              <w:top w:val="nil"/>
              <w:left w:val="nil"/>
              <w:bottom w:val="single" w:sz="4" w:space="0" w:color="auto"/>
              <w:right w:val="single" w:sz="4" w:space="0" w:color="auto"/>
            </w:tcBorders>
            <w:shd w:val="clear" w:color="000000" w:fill="FFFFFF"/>
            <w:vAlign w:val="center"/>
            <w:hideMark/>
          </w:tcPr>
          <w:p w:rsidR="00317DB1" w:rsidRPr="00317DB1" w:rsidRDefault="00317DB1" w:rsidP="00317DB1">
            <w:pPr>
              <w:spacing w:after="0" w:line="240" w:lineRule="auto"/>
              <w:jc w:val="center"/>
              <w:rPr>
                <w:rFonts w:eastAsia="Times New Roman" w:cstheme="minorHAnsi"/>
                <w:color w:val="000000"/>
                <w:sz w:val="18"/>
                <w:szCs w:val="20"/>
                <w:lang w:eastAsia="it-IT"/>
              </w:rPr>
            </w:pPr>
            <w:r w:rsidRPr="00317DB1">
              <w:rPr>
                <w:rFonts w:eastAsia="Times New Roman" w:cstheme="minorHAnsi"/>
                <w:color w:val="000000"/>
                <w:sz w:val="18"/>
                <w:szCs w:val="20"/>
                <w:lang w:eastAsia="it-IT"/>
              </w:rPr>
              <w:t>408</w:t>
            </w:r>
          </w:p>
        </w:tc>
        <w:tc>
          <w:tcPr>
            <w:tcW w:w="773" w:type="dxa"/>
            <w:tcBorders>
              <w:top w:val="nil"/>
              <w:left w:val="nil"/>
              <w:bottom w:val="single" w:sz="4" w:space="0" w:color="auto"/>
              <w:right w:val="single" w:sz="4" w:space="0" w:color="auto"/>
            </w:tcBorders>
            <w:shd w:val="clear" w:color="000000" w:fill="FFFFFF"/>
            <w:vAlign w:val="center"/>
            <w:hideMark/>
          </w:tcPr>
          <w:p w:rsidR="00317DB1" w:rsidRPr="00317DB1" w:rsidRDefault="00317DB1" w:rsidP="00317DB1">
            <w:pPr>
              <w:spacing w:after="0" w:line="240" w:lineRule="auto"/>
              <w:jc w:val="center"/>
              <w:rPr>
                <w:rFonts w:eastAsia="Times New Roman" w:cstheme="minorHAnsi"/>
                <w:color w:val="000000"/>
                <w:sz w:val="18"/>
                <w:szCs w:val="20"/>
                <w:lang w:eastAsia="it-IT"/>
              </w:rPr>
            </w:pPr>
            <w:r w:rsidRPr="00317DB1">
              <w:rPr>
                <w:rFonts w:eastAsia="Times New Roman" w:cstheme="minorHAnsi"/>
                <w:color w:val="000000"/>
                <w:sz w:val="18"/>
                <w:szCs w:val="20"/>
                <w:lang w:eastAsia="it-IT"/>
              </w:rPr>
              <w:t>413</w:t>
            </w:r>
          </w:p>
        </w:tc>
        <w:tc>
          <w:tcPr>
            <w:tcW w:w="773" w:type="dxa"/>
            <w:tcBorders>
              <w:top w:val="nil"/>
              <w:left w:val="nil"/>
              <w:bottom w:val="single" w:sz="4" w:space="0" w:color="auto"/>
              <w:right w:val="single" w:sz="4" w:space="0" w:color="auto"/>
            </w:tcBorders>
            <w:shd w:val="clear" w:color="000000" w:fill="FFFFFF"/>
            <w:vAlign w:val="center"/>
            <w:hideMark/>
          </w:tcPr>
          <w:p w:rsidR="00317DB1" w:rsidRPr="00317DB1" w:rsidRDefault="00317DB1" w:rsidP="00317DB1">
            <w:pPr>
              <w:spacing w:after="0" w:line="240" w:lineRule="auto"/>
              <w:jc w:val="center"/>
              <w:rPr>
                <w:rFonts w:eastAsia="Times New Roman" w:cstheme="minorHAnsi"/>
                <w:color w:val="000000"/>
                <w:sz w:val="18"/>
                <w:szCs w:val="20"/>
                <w:lang w:eastAsia="it-IT"/>
              </w:rPr>
            </w:pPr>
            <w:r w:rsidRPr="00317DB1">
              <w:rPr>
                <w:rFonts w:eastAsia="Times New Roman" w:cstheme="minorHAnsi"/>
                <w:color w:val="000000"/>
                <w:sz w:val="18"/>
                <w:szCs w:val="20"/>
                <w:lang w:eastAsia="it-IT"/>
              </w:rPr>
              <w:t>335</w:t>
            </w:r>
          </w:p>
        </w:tc>
        <w:tc>
          <w:tcPr>
            <w:tcW w:w="773" w:type="dxa"/>
            <w:tcBorders>
              <w:top w:val="nil"/>
              <w:left w:val="nil"/>
              <w:bottom w:val="single" w:sz="4" w:space="0" w:color="auto"/>
              <w:right w:val="single" w:sz="4" w:space="0" w:color="auto"/>
            </w:tcBorders>
            <w:shd w:val="clear" w:color="000000" w:fill="FFFFFF"/>
            <w:vAlign w:val="center"/>
            <w:hideMark/>
          </w:tcPr>
          <w:p w:rsidR="00317DB1" w:rsidRPr="00317DB1" w:rsidRDefault="00317DB1" w:rsidP="00317DB1">
            <w:pPr>
              <w:spacing w:after="0" w:line="240" w:lineRule="auto"/>
              <w:jc w:val="center"/>
              <w:rPr>
                <w:rFonts w:eastAsia="Times New Roman" w:cstheme="minorHAnsi"/>
                <w:color w:val="000000"/>
                <w:sz w:val="18"/>
                <w:szCs w:val="20"/>
                <w:lang w:eastAsia="it-IT"/>
              </w:rPr>
            </w:pPr>
            <w:r w:rsidRPr="00317DB1">
              <w:rPr>
                <w:rFonts w:eastAsia="Times New Roman" w:cstheme="minorHAnsi"/>
                <w:color w:val="000000"/>
                <w:sz w:val="18"/>
                <w:szCs w:val="20"/>
                <w:lang w:eastAsia="it-IT"/>
              </w:rPr>
              <w:t>305</w:t>
            </w:r>
          </w:p>
        </w:tc>
        <w:tc>
          <w:tcPr>
            <w:tcW w:w="774" w:type="dxa"/>
            <w:tcBorders>
              <w:top w:val="nil"/>
              <w:left w:val="nil"/>
              <w:bottom w:val="single" w:sz="4" w:space="0" w:color="auto"/>
              <w:right w:val="single" w:sz="4" w:space="0" w:color="auto"/>
            </w:tcBorders>
            <w:shd w:val="clear" w:color="000000" w:fill="FFFFFF"/>
            <w:vAlign w:val="center"/>
            <w:hideMark/>
          </w:tcPr>
          <w:p w:rsidR="00317DB1" w:rsidRPr="00317DB1" w:rsidRDefault="00317DB1" w:rsidP="00317DB1">
            <w:pPr>
              <w:spacing w:after="0" w:line="240" w:lineRule="auto"/>
              <w:jc w:val="center"/>
              <w:rPr>
                <w:rFonts w:eastAsia="Times New Roman" w:cstheme="minorHAnsi"/>
                <w:color w:val="000000"/>
                <w:sz w:val="18"/>
                <w:szCs w:val="20"/>
                <w:lang w:eastAsia="it-IT"/>
              </w:rPr>
            </w:pPr>
            <w:r w:rsidRPr="00317DB1">
              <w:rPr>
                <w:rFonts w:eastAsia="Times New Roman" w:cstheme="minorHAnsi"/>
                <w:color w:val="000000"/>
                <w:sz w:val="18"/>
                <w:szCs w:val="20"/>
                <w:lang w:eastAsia="it-IT"/>
              </w:rPr>
              <w:t>269</w:t>
            </w:r>
          </w:p>
        </w:tc>
        <w:tc>
          <w:tcPr>
            <w:tcW w:w="773" w:type="dxa"/>
            <w:tcBorders>
              <w:top w:val="nil"/>
              <w:left w:val="nil"/>
              <w:bottom w:val="single" w:sz="4" w:space="0" w:color="auto"/>
              <w:right w:val="single" w:sz="4" w:space="0" w:color="auto"/>
            </w:tcBorders>
            <w:shd w:val="clear" w:color="000000" w:fill="FFFFFF"/>
            <w:vAlign w:val="center"/>
            <w:hideMark/>
          </w:tcPr>
          <w:p w:rsidR="00317DB1" w:rsidRPr="00317DB1" w:rsidRDefault="00317DB1" w:rsidP="00317DB1">
            <w:pPr>
              <w:spacing w:after="0" w:line="240" w:lineRule="auto"/>
              <w:jc w:val="center"/>
              <w:rPr>
                <w:rFonts w:eastAsia="Times New Roman" w:cstheme="minorHAnsi"/>
                <w:color w:val="000000"/>
                <w:sz w:val="18"/>
                <w:szCs w:val="20"/>
                <w:lang w:eastAsia="it-IT"/>
              </w:rPr>
            </w:pPr>
            <w:r w:rsidRPr="00317DB1">
              <w:rPr>
                <w:rFonts w:eastAsia="Times New Roman" w:cstheme="minorHAnsi"/>
                <w:color w:val="000000"/>
                <w:sz w:val="18"/>
                <w:szCs w:val="20"/>
                <w:lang w:eastAsia="it-IT"/>
              </w:rPr>
              <w:t>272</w:t>
            </w:r>
          </w:p>
        </w:tc>
        <w:tc>
          <w:tcPr>
            <w:tcW w:w="773" w:type="dxa"/>
            <w:tcBorders>
              <w:top w:val="nil"/>
              <w:left w:val="nil"/>
              <w:bottom w:val="single" w:sz="4" w:space="0" w:color="auto"/>
              <w:right w:val="single" w:sz="4" w:space="0" w:color="auto"/>
            </w:tcBorders>
            <w:shd w:val="clear" w:color="000000" w:fill="FFFFFF"/>
            <w:vAlign w:val="center"/>
            <w:hideMark/>
          </w:tcPr>
          <w:p w:rsidR="00317DB1" w:rsidRPr="00317DB1" w:rsidRDefault="00317DB1" w:rsidP="00317DB1">
            <w:pPr>
              <w:spacing w:after="0" w:line="240" w:lineRule="auto"/>
              <w:jc w:val="center"/>
              <w:rPr>
                <w:rFonts w:eastAsia="Times New Roman" w:cstheme="minorHAnsi"/>
                <w:color w:val="000000"/>
                <w:sz w:val="18"/>
                <w:szCs w:val="20"/>
                <w:lang w:eastAsia="it-IT"/>
              </w:rPr>
            </w:pPr>
            <w:r w:rsidRPr="00317DB1">
              <w:rPr>
                <w:rFonts w:eastAsia="Times New Roman" w:cstheme="minorHAnsi"/>
                <w:color w:val="000000"/>
                <w:sz w:val="18"/>
                <w:szCs w:val="20"/>
                <w:lang w:eastAsia="it-IT"/>
              </w:rPr>
              <w:t>280</w:t>
            </w:r>
          </w:p>
        </w:tc>
        <w:tc>
          <w:tcPr>
            <w:tcW w:w="773" w:type="dxa"/>
            <w:tcBorders>
              <w:top w:val="nil"/>
              <w:left w:val="nil"/>
              <w:bottom w:val="single" w:sz="4" w:space="0" w:color="auto"/>
              <w:right w:val="single" w:sz="4" w:space="0" w:color="auto"/>
            </w:tcBorders>
            <w:shd w:val="clear" w:color="000000" w:fill="FFFFFF"/>
            <w:vAlign w:val="center"/>
            <w:hideMark/>
          </w:tcPr>
          <w:p w:rsidR="00317DB1" w:rsidRPr="00317DB1" w:rsidRDefault="00317DB1" w:rsidP="00317DB1">
            <w:pPr>
              <w:spacing w:after="0" w:line="240" w:lineRule="auto"/>
              <w:jc w:val="center"/>
              <w:rPr>
                <w:rFonts w:eastAsia="Times New Roman" w:cstheme="minorHAnsi"/>
                <w:color w:val="000000"/>
                <w:sz w:val="18"/>
                <w:szCs w:val="20"/>
                <w:lang w:eastAsia="it-IT"/>
              </w:rPr>
            </w:pPr>
            <w:r w:rsidRPr="00317DB1">
              <w:rPr>
                <w:rFonts w:eastAsia="Times New Roman" w:cstheme="minorHAnsi"/>
                <w:color w:val="000000"/>
                <w:sz w:val="18"/>
                <w:szCs w:val="20"/>
                <w:lang w:eastAsia="it-IT"/>
              </w:rPr>
              <w:t>260,9</w:t>
            </w:r>
          </w:p>
        </w:tc>
        <w:tc>
          <w:tcPr>
            <w:tcW w:w="773" w:type="dxa"/>
            <w:tcBorders>
              <w:top w:val="nil"/>
              <w:left w:val="nil"/>
              <w:bottom w:val="single" w:sz="4" w:space="0" w:color="auto"/>
              <w:right w:val="single" w:sz="4" w:space="0" w:color="auto"/>
            </w:tcBorders>
            <w:shd w:val="clear" w:color="000000" w:fill="FFFFFF"/>
            <w:vAlign w:val="center"/>
            <w:hideMark/>
          </w:tcPr>
          <w:p w:rsidR="00317DB1" w:rsidRPr="00317DB1" w:rsidRDefault="00317DB1" w:rsidP="00317DB1">
            <w:pPr>
              <w:spacing w:after="0" w:line="240" w:lineRule="auto"/>
              <w:jc w:val="center"/>
              <w:rPr>
                <w:rFonts w:eastAsia="Times New Roman" w:cstheme="minorHAnsi"/>
                <w:color w:val="000000"/>
                <w:sz w:val="18"/>
                <w:szCs w:val="20"/>
                <w:lang w:eastAsia="it-IT"/>
              </w:rPr>
            </w:pPr>
            <w:r w:rsidRPr="00317DB1">
              <w:rPr>
                <w:rFonts w:eastAsia="Times New Roman" w:cstheme="minorHAnsi"/>
                <w:color w:val="000000"/>
                <w:sz w:val="18"/>
                <w:szCs w:val="20"/>
                <w:lang w:eastAsia="it-IT"/>
              </w:rPr>
              <w:t>236,9</w:t>
            </w:r>
          </w:p>
        </w:tc>
        <w:tc>
          <w:tcPr>
            <w:tcW w:w="774" w:type="dxa"/>
            <w:gridSpan w:val="2"/>
            <w:tcBorders>
              <w:top w:val="nil"/>
              <w:left w:val="nil"/>
              <w:bottom w:val="single" w:sz="4" w:space="0" w:color="auto"/>
              <w:right w:val="single" w:sz="4" w:space="0" w:color="auto"/>
            </w:tcBorders>
            <w:shd w:val="clear" w:color="000000" w:fill="FFFFFF"/>
            <w:vAlign w:val="center"/>
            <w:hideMark/>
          </w:tcPr>
          <w:p w:rsidR="00317DB1" w:rsidRPr="00317DB1" w:rsidRDefault="00317DB1" w:rsidP="00317DB1">
            <w:pPr>
              <w:spacing w:after="0" w:line="240" w:lineRule="auto"/>
              <w:jc w:val="center"/>
              <w:rPr>
                <w:rFonts w:eastAsia="Times New Roman" w:cstheme="minorHAnsi"/>
                <w:color w:val="000000"/>
                <w:sz w:val="18"/>
                <w:szCs w:val="20"/>
                <w:lang w:eastAsia="it-IT"/>
              </w:rPr>
            </w:pPr>
            <w:r w:rsidRPr="00317DB1">
              <w:rPr>
                <w:rFonts w:eastAsia="Times New Roman" w:cstheme="minorHAnsi"/>
                <w:color w:val="000000"/>
                <w:sz w:val="18"/>
                <w:szCs w:val="20"/>
                <w:lang w:eastAsia="it-IT"/>
              </w:rPr>
              <w:t>255,9</w:t>
            </w:r>
          </w:p>
        </w:tc>
      </w:tr>
      <w:tr w:rsidR="00317DB1" w:rsidRPr="00317DB1" w:rsidTr="00317DB1">
        <w:trPr>
          <w:trHeight w:val="300"/>
        </w:trPr>
        <w:tc>
          <w:tcPr>
            <w:tcW w:w="1555" w:type="dxa"/>
            <w:tcBorders>
              <w:top w:val="nil"/>
              <w:left w:val="single" w:sz="4" w:space="0" w:color="auto"/>
              <w:bottom w:val="single" w:sz="4" w:space="0" w:color="auto"/>
              <w:right w:val="single" w:sz="4" w:space="0" w:color="auto"/>
            </w:tcBorders>
            <w:shd w:val="clear" w:color="000000" w:fill="FFFFFF"/>
            <w:vAlign w:val="center"/>
            <w:hideMark/>
          </w:tcPr>
          <w:p w:rsidR="00317DB1" w:rsidRPr="00317DB1" w:rsidRDefault="00317DB1" w:rsidP="00317DB1">
            <w:pPr>
              <w:spacing w:after="0" w:line="240" w:lineRule="auto"/>
              <w:rPr>
                <w:rFonts w:eastAsia="Times New Roman" w:cstheme="minorHAnsi"/>
                <w:b/>
                <w:bCs/>
                <w:color w:val="000000"/>
                <w:sz w:val="18"/>
                <w:szCs w:val="20"/>
                <w:lang w:eastAsia="it-IT"/>
              </w:rPr>
            </w:pPr>
            <w:r w:rsidRPr="00317DB1">
              <w:rPr>
                <w:rFonts w:eastAsia="Times New Roman" w:cstheme="minorHAnsi"/>
                <w:b/>
                <w:bCs/>
                <w:color w:val="000000"/>
                <w:sz w:val="18"/>
                <w:szCs w:val="20"/>
                <w:lang w:eastAsia="it-IT"/>
              </w:rPr>
              <w:t>TOTALE</w:t>
            </w:r>
            <w:r w:rsidRPr="00317DB1">
              <w:rPr>
                <w:rFonts w:eastAsia="Times New Roman" w:cstheme="minorHAnsi"/>
                <w:color w:val="000000"/>
                <w:sz w:val="18"/>
                <w:szCs w:val="20"/>
                <w:lang w:eastAsia="it-IT"/>
              </w:rPr>
              <w:t xml:space="preserve"> </w:t>
            </w:r>
            <w:r w:rsidRPr="00317DB1">
              <w:rPr>
                <w:rFonts w:eastAsia="Times New Roman" w:cstheme="minorHAnsi"/>
                <w:b/>
                <w:bCs/>
                <w:color w:val="000000"/>
                <w:sz w:val="18"/>
                <w:szCs w:val="20"/>
                <w:lang w:eastAsia="it-IT"/>
              </w:rPr>
              <w:t xml:space="preserve"> </w:t>
            </w:r>
          </w:p>
        </w:tc>
        <w:tc>
          <w:tcPr>
            <w:tcW w:w="773" w:type="dxa"/>
            <w:tcBorders>
              <w:top w:val="nil"/>
              <w:left w:val="nil"/>
              <w:bottom w:val="single" w:sz="4" w:space="0" w:color="auto"/>
              <w:right w:val="single" w:sz="4" w:space="0" w:color="auto"/>
            </w:tcBorders>
            <w:shd w:val="clear" w:color="000000" w:fill="FFFFFF"/>
            <w:vAlign w:val="center"/>
            <w:hideMark/>
          </w:tcPr>
          <w:p w:rsidR="00317DB1" w:rsidRPr="00317DB1" w:rsidRDefault="00317DB1" w:rsidP="00317DB1">
            <w:pPr>
              <w:spacing w:after="0" w:line="240" w:lineRule="auto"/>
              <w:jc w:val="center"/>
              <w:rPr>
                <w:rFonts w:eastAsia="Times New Roman" w:cstheme="minorHAnsi"/>
                <w:b/>
                <w:bCs/>
                <w:color w:val="000000"/>
                <w:sz w:val="18"/>
                <w:szCs w:val="20"/>
                <w:lang w:eastAsia="it-IT"/>
              </w:rPr>
            </w:pPr>
            <w:r w:rsidRPr="00317DB1">
              <w:rPr>
                <w:rFonts w:eastAsia="Times New Roman" w:cstheme="minorHAnsi"/>
                <w:b/>
                <w:bCs/>
                <w:color w:val="000000"/>
                <w:sz w:val="18"/>
                <w:szCs w:val="20"/>
                <w:lang w:eastAsia="it-IT"/>
              </w:rPr>
              <w:t>1.676</w:t>
            </w:r>
          </w:p>
        </w:tc>
        <w:tc>
          <w:tcPr>
            <w:tcW w:w="773" w:type="dxa"/>
            <w:tcBorders>
              <w:top w:val="nil"/>
              <w:left w:val="nil"/>
              <w:bottom w:val="single" w:sz="4" w:space="0" w:color="auto"/>
              <w:right w:val="single" w:sz="4" w:space="0" w:color="auto"/>
            </w:tcBorders>
            <w:shd w:val="clear" w:color="000000" w:fill="FFFFFF"/>
            <w:vAlign w:val="center"/>
            <w:hideMark/>
          </w:tcPr>
          <w:p w:rsidR="00317DB1" w:rsidRPr="00317DB1" w:rsidRDefault="00317DB1" w:rsidP="00317DB1">
            <w:pPr>
              <w:spacing w:after="0" w:line="240" w:lineRule="auto"/>
              <w:jc w:val="center"/>
              <w:rPr>
                <w:rFonts w:eastAsia="Times New Roman" w:cstheme="minorHAnsi"/>
                <w:b/>
                <w:bCs/>
                <w:color w:val="000000"/>
                <w:sz w:val="18"/>
                <w:szCs w:val="20"/>
                <w:lang w:eastAsia="it-IT"/>
              </w:rPr>
            </w:pPr>
            <w:r w:rsidRPr="00317DB1">
              <w:rPr>
                <w:rFonts w:eastAsia="Times New Roman" w:cstheme="minorHAnsi"/>
                <w:b/>
                <w:bCs/>
                <w:color w:val="000000"/>
                <w:sz w:val="18"/>
                <w:szCs w:val="20"/>
                <w:lang w:eastAsia="it-IT"/>
              </w:rPr>
              <w:t>1.386</w:t>
            </w:r>
          </w:p>
        </w:tc>
        <w:tc>
          <w:tcPr>
            <w:tcW w:w="773" w:type="dxa"/>
            <w:tcBorders>
              <w:top w:val="nil"/>
              <w:left w:val="nil"/>
              <w:bottom w:val="single" w:sz="4" w:space="0" w:color="auto"/>
              <w:right w:val="single" w:sz="4" w:space="0" w:color="auto"/>
            </w:tcBorders>
            <w:shd w:val="clear" w:color="000000" w:fill="FFFFFF"/>
            <w:vAlign w:val="center"/>
            <w:hideMark/>
          </w:tcPr>
          <w:p w:rsidR="00317DB1" w:rsidRPr="00317DB1" w:rsidRDefault="00317DB1" w:rsidP="00317DB1">
            <w:pPr>
              <w:spacing w:after="0" w:line="240" w:lineRule="auto"/>
              <w:jc w:val="center"/>
              <w:rPr>
                <w:rFonts w:eastAsia="Times New Roman" w:cstheme="minorHAnsi"/>
                <w:b/>
                <w:bCs/>
                <w:color w:val="000000"/>
                <w:sz w:val="18"/>
                <w:szCs w:val="20"/>
                <w:lang w:eastAsia="it-IT"/>
              </w:rPr>
            </w:pPr>
            <w:r w:rsidRPr="00317DB1">
              <w:rPr>
                <w:rFonts w:eastAsia="Times New Roman" w:cstheme="minorHAnsi"/>
                <w:b/>
                <w:bCs/>
                <w:color w:val="000000"/>
                <w:sz w:val="18"/>
                <w:szCs w:val="20"/>
                <w:lang w:eastAsia="it-IT"/>
              </w:rPr>
              <w:t>1.366</w:t>
            </w:r>
          </w:p>
        </w:tc>
        <w:tc>
          <w:tcPr>
            <w:tcW w:w="773" w:type="dxa"/>
            <w:tcBorders>
              <w:top w:val="nil"/>
              <w:left w:val="nil"/>
              <w:bottom w:val="single" w:sz="4" w:space="0" w:color="auto"/>
              <w:right w:val="single" w:sz="4" w:space="0" w:color="auto"/>
            </w:tcBorders>
            <w:shd w:val="clear" w:color="000000" w:fill="FFFFFF"/>
            <w:vAlign w:val="center"/>
            <w:hideMark/>
          </w:tcPr>
          <w:p w:rsidR="00317DB1" w:rsidRPr="00317DB1" w:rsidRDefault="00317DB1" w:rsidP="00317DB1">
            <w:pPr>
              <w:spacing w:after="0" w:line="240" w:lineRule="auto"/>
              <w:jc w:val="center"/>
              <w:rPr>
                <w:rFonts w:eastAsia="Times New Roman" w:cstheme="minorHAnsi"/>
                <w:b/>
                <w:bCs/>
                <w:color w:val="000000"/>
                <w:sz w:val="18"/>
                <w:szCs w:val="20"/>
                <w:lang w:eastAsia="it-IT"/>
              </w:rPr>
            </w:pPr>
            <w:r w:rsidRPr="00317DB1">
              <w:rPr>
                <w:rFonts w:eastAsia="Times New Roman" w:cstheme="minorHAnsi"/>
                <w:b/>
                <w:bCs/>
                <w:color w:val="000000"/>
                <w:sz w:val="18"/>
                <w:szCs w:val="20"/>
                <w:lang w:eastAsia="it-IT"/>
              </w:rPr>
              <w:t>1.092</w:t>
            </w:r>
          </w:p>
        </w:tc>
        <w:tc>
          <w:tcPr>
            <w:tcW w:w="773" w:type="dxa"/>
            <w:tcBorders>
              <w:top w:val="nil"/>
              <w:left w:val="nil"/>
              <w:bottom w:val="single" w:sz="4" w:space="0" w:color="auto"/>
              <w:right w:val="single" w:sz="4" w:space="0" w:color="auto"/>
            </w:tcBorders>
            <w:shd w:val="clear" w:color="000000" w:fill="FFFFFF"/>
            <w:vAlign w:val="center"/>
            <w:hideMark/>
          </w:tcPr>
          <w:p w:rsidR="00317DB1" w:rsidRPr="00317DB1" w:rsidRDefault="00317DB1" w:rsidP="00317DB1">
            <w:pPr>
              <w:spacing w:after="0" w:line="240" w:lineRule="auto"/>
              <w:jc w:val="center"/>
              <w:rPr>
                <w:rFonts w:eastAsia="Times New Roman" w:cstheme="minorHAnsi"/>
                <w:b/>
                <w:bCs/>
                <w:color w:val="000000"/>
                <w:sz w:val="18"/>
                <w:szCs w:val="20"/>
                <w:lang w:eastAsia="it-IT"/>
              </w:rPr>
            </w:pPr>
            <w:r w:rsidRPr="00317DB1">
              <w:rPr>
                <w:rFonts w:eastAsia="Times New Roman" w:cstheme="minorHAnsi"/>
                <w:b/>
                <w:bCs/>
                <w:color w:val="000000"/>
                <w:sz w:val="18"/>
                <w:szCs w:val="20"/>
                <w:lang w:eastAsia="it-IT"/>
              </w:rPr>
              <w:t>965,8</w:t>
            </w:r>
          </w:p>
        </w:tc>
        <w:tc>
          <w:tcPr>
            <w:tcW w:w="774" w:type="dxa"/>
            <w:tcBorders>
              <w:top w:val="nil"/>
              <w:left w:val="nil"/>
              <w:bottom w:val="single" w:sz="4" w:space="0" w:color="auto"/>
              <w:right w:val="single" w:sz="4" w:space="0" w:color="auto"/>
            </w:tcBorders>
            <w:shd w:val="clear" w:color="000000" w:fill="FFFFFF"/>
            <w:vAlign w:val="center"/>
            <w:hideMark/>
          </w:tcPr>
          <w:p w:rsidR="00317DB1" w:rsidRPr="00317DB1" w:rsidRDefault="00317DB1" w:rsidP="00317DB1">
            <w:pPr>
              <w:spacing w:after="0" w:line="240" w:lineRule="auto"/>
              <w:jc w:val="center"/>
              <w:rPr>
                <w:rFonts w:eastAsia="Times New Roman" w:cstheme="minorHAnsi"/>
                <w:b/>
                <w:bCs/>
                <w:color w:val="000000"/>
                <w:sz w:val="18"/>
                <w:szCs w:val="20"/>
                <w:lang w:eastAsia="it-IT"/>
              </w:rPr>
            </w:pPr>
            <w:r w:rsidRPr="00317DB1">
              <w:rPr>
                <w:rFonts w:eastAsia="Times New Roman" w:cstheme="minorHAnsi"/>
                <w:b/>
                <w:bCs/>
                <w:color w:val="000000"/>
                <w:sz w:val="18"/>
                <w:szCs w:val="20"/>
                <w:lang w:eastAsia="it-IT"/>
              </w:rPr>
              <w:t>884,8</w:t>
            </w:r>
          </w:p>
        </w:tc>
        <w:tc>
          <w:tcPr>
            <w:tcW w:w="773" w:type="dxa"/>
            <w:tcBorders>
              <w:top w:val="nil"/>
              <w:left w:val="nil"/>
              <w:bottom w:val="single" w:sz="4" w:space="0" w:color="auto"/>
              <w:right w:val="single" w:sz="4" w:space="0" w:color="auto"/>
            </w:tcBorders>
            <w:shd w:val="clear" w:color="000000" w:fill="FFFFFF"/>
            <w:vAlign w:val="center"/>
            <w:hideMark/>
          </w:tcPr>
          <w:p w:rsidR="00317DB1" w:rsidRPr="00317DB1" w:rsidRDefault="00317DB1" w:rsidP="00317DB1">
            <w:pPr>
              <w:spacing w:after="0" w:line="240" w:lineRule="auto"/>
              <w:jc w:val="center"/>
              <w:rPr>
                <w:rFonts w:eastAsia="Times New Roman" w:cstheme="minorHAnsi"/>
                <w:b/>
                <w:bCs/>
                <w:color w:val="000000"/>
                <w:sz w:val="18"/>
                <w:szCs w:val="20"/>
                <w:lang w:eastAsia="it-IT"/>
              </w:rPr>
            </w:pPr>
            <w:r w:rsidRPr="00317DB1">
              <w:rPr>
                <w:rFonts w:eastAsia="Times New Roman" w:cstheme="minorHAnsi"/>
                <w:b/>
                <w:bCs/>
                <w:color w:val="000000"/>
                <w:sz w:val="18"/>
                <w:szCs w:val="20"/>
                <w:lang w:eastAsia="it-IT"/>
              </w:rPr>
              <w:t>911,9</w:t>
            </w:r>
          </w:p>
        </w:tc>
        <w:tc>
          <w:tcPr>
            <w:tcW w:w="773" w:type="dxa"/>
            <w:tcBorders>
              <w:top w:val="nil"/>
              <w:left w:val="nil"/>
              <w:bottom w:val="single" w:sz="4" w:space="0" w:color="auto"/>
              <w:right w:val="single" w:sz="4" w:space="0" w:color="auto"/>
            </w:tcBorders>
            <w:shd w:val="clear" w:color="000000" w:fill="FFFFFF"/>
            <w:vAlign w:val="center"/>
            <w:hideMark/>
          </w:tcPr>
          <w:p w:rsidR="00317DB1" w:rsidRPr="00317DB1" w:rsidRDefault="00317DB1" w:rsidP="00317DB1">
            <w:pPr>
              <w:spacing w:after="0" w:line="240" w:lineRule="auto"/>
              <w:jc w:val="center"/>
              <w:rPr>
                <w:rFonts w:eastAsia="Times New Roman" w:cstheme="minorHAnsi"/>
                <w:b/>
                <w:bCs/>
                <w:color w:val="000000"/>
                <w:sz w:val="18"/>
                <w:szCs w:val="20"/>
                <w:lang w:eastAsia="it-IT"/>
              </w:rPr>
            </w:pPr>
            <w:r w:rsidRPr="00317DB1">
              <w:rPr>
                <w:rFonts w:eastAsia="Times New Roman" w:cstheme="minorHAnsi"/>
                <w:b/>
                <w:bCs/>
                <w:color w:val="000000"/>
                <w:sz w:val="18"/>
                <w:szCs w:val="20"/>
                <w:lang w:eastAsia="it-IT"/>
              </w:rPr>
              <w:t>936</w:t>
            </w:r>
          </w:p>
        </w:tc>
        <w:tc>
          <w:tcPr>
            <w:tcW w:w="773" w:type="dxa"/>
            <w:tcBorders>
              <w:top w:val="nil"/>
              <w:left w:val="nil"/>
              <w:bottom w:val="single" w:sz="4" w:space="0" w:color="auto"/>
              <w:right w:val="single" w:sz="4" w:space="0" w:color="auto"/>
            </w:tcBorders>
            <w:shd w:val="clear" w:color="000000" w:fill="FFFFFF"/>
            <w:vAlign w:val="center"/>
            <w:hideMark/>
          </w:tcPr>
          <w:p w:rsidR="00317DB1" w:rsidRPr="00317DB1" w:rsidRDefault="00317DB1" w:rsidP="00317DB1">
            <w:pPr>
              <w:spacing w:after="0" w:line="240" w:lineRule="auto"/>
              <w:jc w:val="center"/>
              <w:rPr>
                <w:rFonts w:eastAsia="Times New Roman" w:cstheme="minorHAnsi"/>
                <w:b/>
                <w:bCs/>
                <w:color w:val="000000"/>
                <w:sz w:val="18"/>
                <w:szCs w:val="20"/>
                <w:lang w:eastAsia="it-IT"/>
              </w:rPr>
            </w:pPr>
            <w:r w:rsidRPr="00317DB1">
              <w:rPr>
                <w:rFonts w:eastAsia="Times New Roman" w:cstheme="minorHAnsi"/>
                <w:b/>
                <w:bCs/>
                <w:color w:val="000000"/>
                <w:sz w:val="18"/>
                <w:szCs w:val="20"/>
                <w:lang w:eastAsia="it-IT"/>
              </w:rPr>
              <w:t>1.030</w:t>
            </w:r>
          </w:p>
        </w:tc>
        <w:tc>
          <w:tcPr>
            <w:tcW w:w="773" w:type="dxa"/>
            <w:tcBorders>
              <w:top w:val="nil"/>
              <w:left w:val="nil"/>
              <w:bottom w:val="single" w:sz="4" w:space="0" w:color="auto"/>
              <w:right w:val="single" w:sz="4" w:space="0" w:color="auto"/>
            </w:tcBorders>
            <w:shd w:val="clear" w:color="000000" w:fill="FFFFFF"/>
            <w:vAlign w:val="center"/>
            <w:hideMark/>
          </w:tcPr>
          <w:p w:rsidR="00317DB1" w:rsidRPr="00317DB1" w:rsidRDefault="00317DB1" w:rsidP="00317DB1">
            <w:pPr>
              <w:spacing w:after="0" w:line="240" w:lineRule="auto"/>
              <w:jc w:val="center"/>
              <w:rPr>
                <w:rFonts w:eastAsia="Times New Roman" w:cstheme="minorHAnsi"/>
                <w:b/>
                <w:bCs/>
                <w:color w:val="000000"/>
                <w:sz w:val="18"/>
                <w:szCs w:val="20"/>
                <w:lang w:eastAsia="it-IT"/>
              </w:rPr>
            </w:pPr>
            <w:r w:rsidRPr="00317DB1">
              <w:rPr>
                <w:rFonts w:eastAsia="Times New Roman" w:cstheme="minorHAnsi"/>
                <w:b/>
                <w:bCs/>
                <w:color w:val="000000"/>
                <w:sz w:val="18"/>
                <w:szCs w:val="20"/>
                <w:lang w:eastAsia="it-IT"/>
              </w:rPr>
              <w:t>984</w:t>
            </w:r>
          </w:p>
        </w:tc>
        <w:tc>
          <w:tcPr>
            <w:tcW w:w="774" w:type="dxa"/>
            <w:gridSpan w:val="2"/>
            <w:tcBorders>
              <w:top w:val="single" w:sz="4" w:space="0" w:color="auto"/>
              <w:left w:val="nil"/>
              <w:bottom w:val="single" w:sz="4" w:space="0" w:color="auto"/>
              <w:right w:val="single" w:sz="4" w:space="0" w:color="auto"/>
            </w:tcBorders>
            <w:shd w:val="clear" w:color="000000" w:fill="FFFFFF"/>
            <w:vAlign w:val="center"/>
            <w:hideMark/>
          </w:tcPr>
          <w:p w:rsidR="00317DB1" w:rsidRPr="00317DB1" w:rsidRDefault="00317DB1" w:rsidP="00317DB1">
            <w:pPr>
              <w:spacing w:after="0" w:line="240" w:lineRule="auto"/>
              <w:jc w:val="center"/>
              <w:rPr>
                <w:rFonts w:eastAsia="Times New Roman" w:cstheme="minorHAnsi"/>
                <w:b/>
                <w:bCs/>
                <w:color w:val="000000"/>
                <w:sz w:val="18"/>
                <w:szCs w:val="20"/>
                <w:lang w:eastAsia="it-IT"/>
              </w:rPr>
            </w:pPr>
            <w:r w:rsidRPr="00317DB1">
              <w:rPr>
                <w:rFonts w:eastAsia="Times New Roman" w:cstheme="minorHAnsi"/>
                <w:b/>
                <w:bCs/>
                <w:color w:val="000000"/>
                <w:sz w:val="18"/>
                <w:szCs w:val="20"/>
                <w:lang w:eastAsia="it-IT"/>
              </w:rPr>
              <w:t>1.024</w:t>
            </w:r>
          </w:p>
        </w:tc>
      </w:tr>
    </w:tbl>
    <w:p w:rsidR="00A203FA" w:rsidRPr="00592CDB" w:rsidRDefault="00A203FA" w:rsidP="00A203FA">
      <w:pPr>
        <w:spacing w:after="0" w:line="276" w:lineRule="auto"/>
        <w:jc w:val="center"/>
        <w:rPr>
          <w:sz w:val="18"/>
        </w:rPr>
      </w:pPr>
      <w:r w:rsidRPr="00592CDB">
        <w:rPr>
          <w:sz w:val="18"/>
        </w:rPr>
        <w:t>Fonte: elaborazioni Federculture su dati ACRI</w:t>
      </w:r>
    </w:p>
    <w:p w:rsidR="00A203FA" w:rsidRPr="00F43634" w:rsidRDefault="00A203FA" w:rsidP="00BB57CE">
      <w:pPr>
        <w:spacing w:after="0" w:line="240" w:lineRule="auto"/>
        <w:jc w:val="both"/>
        <w:rPr>
          <w:noProof/>
          <w:highlight w:val="yellow"/>
          <w:lang w:eastAsia="it-IT"/>
        </w:rPr>
      </w:pPr>
    </w:p>
    <w:sectPr w:rsidR="00A203FA" w:rsidRPr="00F43634" w:rsidSect="00E82035">
      <w:footerReference w:type="default" r:id="rId17"/>
      <w:pgSz w:w="11906" w:h="16838"/>
      <w:pgMar w:top="851" w:right="1021" w:bottom="851" w:left="102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C1D" w:rsidRDefault="00FB5C1D" w:rsidP="0071444D">
      <w:pPr>
        <w:spacing w:after="0" w:line="240" w:lineRule="auto"/>
      </w:pPr>
      <w:r>
        <w:separator/>
      </w:r>
    </w:p>
  </w:endnote>
  <w:endnote w:type="continuationSeparator" w:id="0">
    <w:p w:rsidR="00FB5C1D" w:rsidRDefault="00FB5C1D" w:rsidP="00714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C1D" w:rsidRPr="00CB168D" w:rsidRDefault="00AA1FDE" w:rsidP="00CB168D">
    <w:pPr>
      <w:pStyle w:val="Pidipagina"/>
      <w:jc w:val="right"/>
      <w:rPr>
        <w:i/>
        <w:sz w:val="18"/>
        <w:szCs w:val="18"/>
      </w:rPr>
    </w:pPr>
    <w:sdt>
      <w:sdtPr>
        <w:id w:val="-1742016063"/>
        <w:docPartObj>
          <w:docPartGallery w:val="Page Numbers (Margins)"/>
          <w:docPartUnique/>
        </w:docPartObj>
      </w:sdtPr>
      <w:sdtEndPr/>
      <w:sdtContent>
        <w:r w:rsidR="00FB5C1D">
          <w:rPr>
            <w:rFonts w:asciiTheme="majorHAnsi" w:eastAsiaTheme="majorEastAsia" w:hAnsiTheme="majorHAnsi" w:cstheme="majorBidi"/>
            <w:noProof/>
            <w:sz w:val="28"/>
            <w:szCs w:val="28"/>
            <w:lang w:eastAsia="it-IT"/>
          </w:rPr>
          <mc:AlternateContent>
            <mc:Choice Requires="wps">
              <w:drawing>
                <wp:anchor distT="0" distB="0" distL="114300" distR="114300" simplePos="0" relativeHeight="251660288" behindDoc="0" locked="0" layoutInCell="0" allowOverlap="1" wp14:anchorId="46C7806A" wp14:editId="6E9645EF">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334800" cy="334800"/>
                  <wp:effectExtent l="0" t="0" r="27305" b="27305"/>
                  <wp:wrapNone/>
                  <wp:docPr id="11" name="Ova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800" cy="334800"/>
                          </a:xfrm>
                          <a:prstGeom prst="ellipse">
                            <a:avLst/>
                          </a:prstGeom>
                          <a:solidFill>
                            <a:srgbClr val="B71B54">
                              <a:alpha val="69804"/>
                            </a:srgbClr>
                          </a:solidFill>
                          <a:ln>
                            <a:solidFill>
                              <a:srgbClr val="C00000"/>
                            </a:solidFill>
                          </a:ln>
                        </wps:spPr>
                        <wps:txbx>
                          <w:txbxContent>
                            <w:p w:rsidR="00FB5C1D" w:rsidRPr="00A3483F" w:rsidRDefault="00FB5C1D" w:rsidP="00CB168D">
                              <w:pPr>
                                <w:jc w:val="center"/>
                                <w:rPr>
                                  <w:rStyle w:val="Numeropagina"/>
                                  <w:color w:val="44546A" w:themeColor="text2"/>
                                  <w:sz w:val="10"/>
                                  <w:szCs w:val="10"/>
                                </w:rPr>
                              </w:pPr>
                              <w:r w:rsidRPr="00A3483F">
                                <w:fldChar w:fldCharType="begin"/>
                              </w:r>
                              <w:r w:rsidRPr="00A3483F">
                                <w:rPr>
                                  <w:color w:val="44546A" w:themeColor="text2"/>
                                  <w:sz w:val="10"/>
                                  <w:szCs w:val="10"/>
                                </w:rPr>
                                <w:instrText>PAGE    \* MERGEFORMAT</w:instrText>
                              </w:r>
                              <w:r w:rsidRPr="00A3483F">
                                <w:fldChar w:fldCharType="separate"/>
                              </w:r>
                              <w:r w:rsidR="00AA1FDE" w:rsidRPr="00AA1FDE">
                                <w:rPr>
                                  <w:rStyle w:val="Numeropagina"/>
                                  <w:b/>
                                  <w:bCs/>
                                  <w:noProof/>
                                </w:rPr>
                                <w:t>9</w:t>
                              </w:r>
                              <w:r w:rsidRPr="00A3483F">
                                <w:rPr>
                                  <w:rStyle w:val="Numeropagina"/>
                                  <w:b/>
                                  <w:bCs/>
                                  <w:color w:val="44546A" w:themeColor="text2"/>
                                  <w:sz w:val="10"/>
                                  <w:szCs w:val="10"/>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C7806A" id="Ovale 11" o:spid="_x0000_s1027" style="position:absolute;left:0;text-align:left;margin-left:0;margin-top:0;width:26.35pt;height:26.35pt;z-index:25166028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" o:allowincell="f" fillcolor="#b71b54" strokecolor="#c00000">
                  <v:fill opacity="45746f"/>
                  <o:lock v:ext="edit" aspectratio="t"/>
                  <v:textbox inset="0,,0">
                    <w:txbxContent>
                      <w:p w:rsidR="00FB5C1D" w:rsidRPr="00A3483F" w:rsidRDefault="00FB5C1D" w:rsidP="00CB168D">
                        <w:pPr>
                          <w:jc w:val="center"/>
                          <w:rPr>
                            <w:rStyle w:val="Numeropagina"/>
                            <w:color w:val="44546A" w:themeColor="text2"/>
                            <w:sz w:val="10"/>
                            <w:szCs w:val="10"/>
                          </w:rPr>
                        </w:pPr>
                        <w:r w:rsidRPr="00A3483F">
                          <w:fldChar w:fldCharType="begin"/>
                        </w:r>
                        <w:r w:rsidRPr="00A3483F">
                          <w:rPr>
                            <w:color w:val="44546A" w:themeColor="text2"/>
                            <w:sz w:val="10"/>
                            <w:szCs w:val="10"/>
                          </w:rPr>
                          <w:instrText>PAGE    \* MERGEFORMAT</w:instrText>
                        </w:r>
                        <w:r w:rsidRPr="00A3483F">
                          <w:fldChar w:fldCharType="separate"/>
                        </w:r>
                        <w:r w:rsidR="00AA1FDE" w:rsidRPr="00AA1FDE">
                          <w:rPr>
                            <w:rStyle w:val="Numeropagina"/>
                            <w:b/>
                            <w:bCs/>
                            <w:noProof/>
                          </w:rPr>
                          <w:t>9</w:t>
                        </w:r>
                        <w:r w:rsidRPr="00A3483F">
                          <w:rPr>
                            <w:rStyle w:val="Numeropagina"/>
                            <w:b/>
                            <w:bCs/>
                            <w:color w:val="44546A" w:themeColor="text2"/>
                            <w:sz w:val="10"/>
                            <w:szCs w:val="10"/>
                          </w:rPr>
                          <w:fldChar w:fldCharType="end"/>
                        </w:r>
                      </w:p>
                    </w:txbxContent>
                  </v:textbox>
                  <w10:wrap anchorx="margin" anchory="page"/>
                </v:oval>
              </w:pict>
            </mc:Fallback>
          </mc:AlternateContent>
        </w:r>
      </w:sdtContent>
    </w:sdt>
    <w:r w:rsidR="00FB5C1D">
      <w:rPr>
        <w:i/>
        <w:sz w:val="18"/>
        <w:szCs w:val="18"/>
      </w:rPr>
      <w:t>«</w:t>
    </w:r>
    <w:r w:rsidR="00FB5C1D" w:rsidRPr="00D56C19">
      <w:rPr>
        <w:i/>
        <w:smallCaps/>
        <w:sz w:val="18"/>
        <w:szCs w:val="18"/>
      </w:rPr>
      <w:t xml:space="preserve">Impresa Cultura. </w:t>
    </w:r>
    <w:r w:rsidR="00FB5C1D">
      <w:rPr>
        <w:i/>
        <w:smallCaps/>
        <w:sz w:val="18"/>
        <w:szCs w:val="18"/>
      </w:rPr>
      <w:t>politiche, reti, competenze</w:t>
    </w:r>
    <w:r w:rsidR="00FB5C1D">
      <w:rPr>
        <w:i/>
        <w:sz w:val="18"/>
        <w:szCs w:val="18"/>
      </w:rPr>
      <w:t>», 15</w:t>
    </w:r>
    <w:r w:rsidR="00FB5C1D" w:rsidRPr="004F72A5">
      <w:rPr>
        <w:i/>
        <w:sz w:val="18"/>
        <w:szCs w:val="18"/>
      </w:rPr>
      <w:t>° Ra</w:t>
    </w:r>
    <w:r w:rsidR="00FB5C1D">
      <w:rPr>
        <w:i/>
        <w:sz w:val="18"/>
        <w:szCs w:val="18"/>
      </w:rPr>
      <w:t>pporto Annuale Federculture 2019</w:t>
    </w:r>
    <w:r w:rsidR="00FB5C1D" w:rsidRPr="004F72A5">
      <w:rPr>
        <w:i/>
        <w:sz w:val="18"/>
        <w:szCs w:val="18"/>
      </w:rPr>
      <w:t xml:space="preserve">, </w:t>
    </w:r>
    <w:r w:rsidR="00FB5C1D">
      <w:rPr>
        <w:i/>
        <w:sz w:val="18"/>
        <w:szCs w:val="18"/>
      </w:rPr>
      <w:t>Gangemi Editore</w:t>
    </w:r>
    <w:sdt>
      <w:sdtPr>
        <w:id w:val="2016408562"/>
        <w:docPartObj>
          <w:docPartGallery w:val="Page Numbers (Margins)"/>
          <w:docPartUnique/>
        </w:docPartObj>
      </w:sdtPr>
      <w:sdtEndPr/>
      <w:sdtContent>
        <w:r w:rsidR="00FB5C1D">
          <w:rPr>
            <w:rFonts w:asciiTheme="majorHAnsi" w:eastAsiaTheme="majorEastAsia" w:hAnsiTheme="majorHAnsi" w:cstheme="majorBidi"/>
            <w:noProof/>
            <w:sz w:val="28"/>
            <w:szCs w:val="28"/>
            <w:lang w:eastAsia="it-IT"/>
          </w:rPr>
          <mc:AlternateContent>
            <mc:Choice Requires="wps">
              <w:drawing>
                <wp:anchor distT="0" distB="0" distL="114300" distR="114300" simplePos="0" relativeHeight="251659264" behindDoc="0" locked="0" layoutInCell="0" allowOverlap="1" wp14:anchorId="1605E374" wp14:editId="7AF395E7">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334800" cy="334800"/>
                  <wp:effectExtent l="0" t="0" r="27305" b="27305"/>
                  <wp:wrapNone/>
                  <wp:docPr id="14" name="Ova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800" cy="334800"/>
                          </a:xfrm>
                          <a:prstGeom prst="ellipse">
                            <a:avLst/>
                          </a:prstGeom>
                          <a:solidFill>
                            <a:schemeClr val="accent1">
                              <a:lumMod val="60000"/>
                              <a:lumOff val="40000"/>
                            </a:schemeClr>
                          </a:solidFill>
                          <a:ln>
                            <a:solidFill>
                              <a:schemeClr val="accent1"/>
                            </a:solidFill>
                          </a:ln>
                        </wps:spPr>
                        <wps:txbx>
                          <w:txbxContent>
                            <w:p w:rsidR="00FB5C1D" w:rsidRPr="00A3483F" w:rsidRDefault="00FB5C1D" w:rsidP="00CB168D">
                              <w:pPr>
                                <w:jc w:val="center"/>
                                <w:rPr>
                                  <w:rStyle w:val="Numeropagina"/>
                                  <w:color w:val="44546A" w:themeColor="text2"/>
                                  <w:sz w:val="10"/>
                                  <w:szCs w:val="10"/>
                                </w:rPr>
                              </w:pPr>
                              <w:r w:rsidRPr="00A3483F">
                                <w:fldChar w:fldCharType="begin"/>
                              </w:r>
                              <w:r w:rsidRPr="00A3483F">
                                <w:rPr>
                                  <w:color w:val="44546A" w:themeColor="text2"/>
                                  <w:sz w:val="10"/>
                                  <w:szCs w:val="10"/>
                                </w:rPr>
                                <w:instrText>PAGE    \* MERGEFORMAT</w:instrText>
                              </w:r>
                              <w:r w:rsidRPr="00A3483F">
                                <w:fldChar w:fldCharType="separate"/>
                              </w:r>
                              <w:r w:rsidR="00AA1FDE" w:rsidRPr="00AA1FDE">
                                <w:rPr>
                                  <w:rStyle w:val="Numeropagina"/>
                                  <w:b/>
                                  <w:bCs/>
                                  <w:noProof/>
                                </w:rPr>
                                <w:t>9</w:t>
                              </w:r>
                              <w:r w:rsidRPr="00A3483F">
                                <w:rPr>
                                  <w:rStyle w:val="Numeropagina"/>
                                  <w:b/>
                                  <w:bCs/>
                                  <w:color w:val="44546A" w:themeColor="text2"/>
                                  <w:sz w:val="10"/>
                                  <w:szCs w:val="10"/>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05E374" id="Ovale 14" o:spid="_x0000_s1028" style="position:absolute;left:0;text-align:left;margin-left:0;margin-top:0;width:26.35pt;height:26.35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" o:allowincell="f" fillcolor="#9cc2e5 [1940]" strokecolor="#5b9bd5 [3204]">
                  <o:lock v:ext="edit" aspectratio="t"/>
                  <v:textbox inset="0,,0">
                    <w:txbxContent>
                      <w:p w:rsidR="00FB5C1D" w:rsidRPr="00A3483F" w:rsidRDefault="00FB5C1D" w:rsidP="00CB168D">
                        <w:pPr>
                          <w:jc w:val="center"/>
                          <w:rPr>
                            <w:rStyle w:val="Numeropagina"/>
                            <w:color w:val="44546A" w:themeColor="text2"/>
                            <w:sz w:val="10"/>
                            <w:szCs w:val="10"/>
                          </w:rPr>
                        </w:pPr>
                        <w:r w:rsidRPr="00A3483F">
                          <w:fldChar w:fldCharType="begin"/>
                        </w:r>
                        <w:r w:rsidRPr="00A3483F">
                          <w:rPr>
                            <w:color w:val="44546A" w:themeColor="text2"/>
                            <w:sz w:val="10"/>
                            <w:szCs w:val="10"/>
                          </w:rPr>
                          <w:instrText>PAGE    \* MERGEFORMAT</w:instrText>
                        </w:r>
                        <w:r w:rsidRPr="00A3483F">
                          <w:fldChar w:fldCharType="separate"/>
                        </w:r>
                        <w:r w:rsidR="00AA1FDE" w:rsidRPr="00AA1FDE">
                          <w:rPr>
                            <w:rStyle w:val="Numeropagina"/>
                            <w:b/>
                            <w:bCs/>
                            <w:noProof/>
                          </w:rPr>
                          <w:t>9</w:t>
                        </w:r>
                        <w:r w:rsidRPr="00A3483F">
                          <w:rPr>
                            <w:rStyle w:val="Numeropagina"/>
                            <w:b/>
                            <w:bCs/>
                            <w:color w:val="44546A" w:themeColor="text2"/>
                            <w:sz w:val="10"/>
                            <w:szCs w:val="10"/>
                          </w:rPr>
                          <w:fldChar w:fldCharType="end"/>
                        </w:r>
                      </w:p>
                    </w:txbxContent>
                  </v:textbox>
                  <w10:wrap anchorx="margin" anchory="page"/>
                </v:oval>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C1D" w:rsidRDefault="00FB5C1D" w:rsidP="0071444D">
      <w:pPr>
        <w:spacing w:after="0" w:line="240" w:lineRule="auto"/>
      </w:pPr>
      <w:r>
        <w:separator/>
      </w:r>
    </w:p>
  </w:footnote>
  <w:footnote w:type="continuationSeparator" w:id="0">
    <w:p w:rsidR="00FB5C1D" w:rsidRDefault="00FB5C1D" w:rsidP="007144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83010"/>
    <w:multiLevelType w:val="hybridMultilevel"/>
    <w:tmpl w:val="2B48D7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1C"/>
    <w:rsid w:val="00014060"/>
    <w:rsid w:val="00021F56"/>
    <w:rsid w:val="000373D1"/>
    <w:rsid w:val="0004278F"/>
    <w:rsid w:val="000432DC"/>
    <w:rsid w:val="00044FF3"/>
    <w:rsid w:val="00050AF5"/>
    <w:rsid w:val="00060A81"/>
    <w:rsid w:val="00062E5E"/>
    <w:rsid w:val="00072754"/>
    <w:rsid w:val="00073501"/>
    <w:rsid w:val="0007493D"/>
    <w:rsid w:val="00093460"/>
    <w:rsid w:val="000A2402"/>
    <w:rsid w:val="000A3130"/>
    <w:rsid w:val="000C4964"/>
    <w:rsid w:val="000C6B14"/>
    <w:rsid w:val="000E1E23"/>
    <w:rsid w:val="00110B95"/>
    <w:rsid w:val="0011544D"/>
    <w:rsid w:val="001238EE"/>
    <w:rsid w:val="00123D1A"/>
    <w:rsid w:val="001276A8"/>
    <w:rsid w:val="0015198A"/>
    <w:rsid w:val="00164F13"/>
    <w:rsid w:val="001A00BD"/>
    <w:rsid w:val="001B4785"/>
    <w:rsid w:val="001B47F9"/>
    <w:rsid w:val="001D5163"/>
    <w:rsid w:val="001D6412"/>
    <w:rsid w:val="001D74B0"/>
    <w:rsid w:val="001E4306"/>
    <w:rsid w:val="001F4C8E"/>
    <w:rsid w:val="0021383F"/>
    <w:rsid w:val="002454E5"/>
    <w:rsid w:val="00255D9D"/>
    <w:rsid w:val="00275676"/>
    <w:rsid w:val="0027799A"/>
    <w:rsid w:val="00291097"/>
    <w:rsid w:val="002A3F17"/>
    <w:rsid w:val="002A57AC"/>
    <w:rsid w:val="002A5832"/>
    <w:rsid w:val="002C1488"/>
    <w:rsid w:val="002C26AE"/>
    <w:rsid w:val="002C517A"/>
    <w:rsid w:val="002D2ABB"/>
    <w:rsid w:val="002F41CD"/>
    <w:rsid w:val="002F58D6"/>
    <w:rsid w:val="003031AA"/>
    <w:rsid w:val="0031369F"/>
    <w:rsid w:val="00317DB1"/>
    <w:rsid w:val="003206BB"/>
    <w:rsid w:val="0032092F"/>
    <w:rsid w:val="00321A24"/>
    <w:rsid w:val="00323F50"/>
    <w:rsid w:val="003341D1"/>
    <w:rsid w:val="00340487"/>
    <w:rsid w:val="00357FD4"/>
    <w:rsid w:val="00372DF0"/>
    <w:rsid w:val="00373621"/>
    <w:rsid w:val="003875CA"/>
    <w:rsid w:val="0039449B"/>
    <w:rsid w:val="003A1DE4"/>
    <w:rsid w:val="003A5544"/>
    <w:rsid w:val="003B0BE9"/>
    <w:rsid w:val="003D084E"/>
    <w:rsid w:val="003D61E9"/>
    <w:rsid w:val="003E0D52"/>
    <w:rsid w:val="003F3F06"/>
    <w:rsid w:val="003F6730"/>
    <w:rsid w:val="003F7856"/>
    <w:rsid w:val="00424083"/>
    <w:rsid w:val="00425B08"/>
    <w:rsid w:val="00425C0E"/>
    <w:rsid w:val="00434B4A"/>
    <w:rsid w:val="00444AF2"/>
    <w:rsid w:val="00444C00"/>
    <w:rsid w:val="00445A54"/>
    <w:rsid w:val="00491F58"/>
    <w:rsid w:val="004A6A93"/>
    <w:rsid w:val="004B5803"/>
    <w:rsid w:val="004D74C2"/>
    <w:rsid w:val="004D7D0C"/>
    <w:rsid w:val="004F0C22"/>
    <w:rsid w:val="005157C7"/>
    <w:rsid w:val="00546244"/>
    <w:rsid w:val="00551F31"/>
    <w:rsid w:val="00557BEC"/>
    <w:rsid w:val="00572A33"/>
    <w:rsid w:val="00582904"/>
    <w:rsid w:val="00590665"/>
    <w:rsid w:val="00592CDB"/>
    <w:rsid w:val="005A1526"/>
    <w:rsid w:val="005B2464"/>
    <w:rsid w:val="005B34BA"/>
    <w:rsid w:val="005B727E"/>
    <w:rsid w:val="005C6661"/>
    <w:rsid w:val="005D1450"/>
    <w:rsid w:val="005E1D7D"/>
    <w:rsid w:val="00601A85"/>
    <w:rsid w:val="00606009"/>
    <w:rsid w:val="00607B0C"/>
    <w:rsid w:val="00610DDD"/>
    <w:rsid w:val="0061230C"/>
    <w:rsid w:val="00612BFB"/>
    <w:rsid w:val="00613723"/>
    <w:rsid w:val="006174FD"/>
    <w:rsid w:val="006207EC"/>
    <w:rsid w:val="006212C1"/>
    <w:rsid w:val="00625D65"/>
    <w:rsid w:val="00627FBA"/>
    <w:rsid w:val="0063029F"/>
    <w:rsid w:val="00642CCE"/>
    <w:rsid w:val="006531D3"/>
    <w:rsid w:val="006533B8"/>
    <w:rsid w:val="00653BDE"/>
    <w:rsid w:val="006827D6"/>
    <w:rsid w:val="00684073"/>
    <w:rsid w:val="00692A6A"/>
    <w:rsid w:val="006934D3"/>
    <w:rsid w:val="006A3A43"/>
    <w:rsid w:val="006A53A1"/>
    <w:rsid w:val="006D0BB2"/>
    <w:rsid w:val="006D5588"/>
    <w:rsid w:val="006E07D6"/>
    <w:rsid w:val="006E12A6"/>
    <w:rsid w:val="00704440"/>
    <w:rsid w:val="00705F73"/>
    <w:rsid w:val="0071444D"/>
    <w:rsid w:val="00717D81"/>
    <w:rsid w:val="007265C0"/>
    <w:rsid w:val="00727B39"/>
    <w:rsid w:val="00762A79"/>
    <w:rsid w:val="00763B37"/>
    <w:rsid w:val="007640F2"/>
    <w:rsid w:val="007915E7"/>
    <w:rsid w:val="007A0388"/>
    <w:rsid w:val="007B5517"/>
    <w:rsid w:val="007D43F7"/>
    <w:rsid w:val="007D48B4"/>
    <w:rsid w:val="007E3609"/>
    <w:rsid w:val="007E3BBE"/>
    <w:rsid w:val="007E5871"/>
    <w:rsid w:val="008012B0"/>
    <w:rsid w:val="008028E6"/>
    <w:rsid w:val="0080327F"/>
    <w:rsid w:val="00810F29"/>
    <w:rsid w:val="008138D5"/>
    <w:rsid w:val="00821101"/>
    <w:rsid w:val="00826F95"/>
    <w:rsid w:val="0083225A"/>
    <w:rsid w:val="008427F7"/>
    <w:rsid w:val="00845427"/>
    <w:rsid w:val="00851F16"/>
    <w:rsid w:val="00854247"/>
    <w:rsid w:val="008560A0"/>
    <w:rsid w:val="00872A2A"/>
    <w:rsid w:val="00882372"/>
    <w:rsid w:val="00887DD2"/>
    <w:rsid w:val="0089387B"/>
    <w:rsid w:val="008971B1"/>
    <w:rsid w:val="008A1430"/>
    <w:rsid w:val="008B0286"/>
    <w:rsid w:val="008D0C37"/>
    <w:rsid w:val="008D19C4"/>
    <w:rsid w:val="008E27BF"/>
    <w:rsid w:val="008E7BCF"/>
    <w:rsid w:val="009056B4"/>
    <w:rsid w:val="00907691"/>
    <w:rsid w:val="00923793"/>
    <w:rsid w:val="00931199"/>
    <w:rsid w:val="00941EE2"/>
    <w:rsid w:val="009600EF"/>
    <w:rsid w:val="00970BE6"/>
    <w:rsid w:val="00991BCD"/>
    <w:rsid w:val="009B0D25"/>
    <w:rsid w:val="009B7EC0"/>
    <w:rsid w:val="009C66D5"/>
    <w:rsid w:val="009D030E"/>
    <w:rsid w:val="009D3BCA"/>
    <w:rsid w:val="009D4069"/>
    <w:rsid w:val="009E4723"/>
    <w:rsid w:val="009E4D84"/>
    <w:rsid w:val="009E7285"/>
    <w:rsid w:val="009F259F"/>
    <w:rsid w:val="00A027A6"/>
    <w:rsid w:val="00A14E96"/>
    <w:rsid w:val="00A203FA"/>
    <w:rsid w:val="00A22DF7"/>
    <w:rsid w:val="00A42DB6"/>
    <w:rsid w:val="00A52D4D"/>
    <w:rsid w:val="00A629CE"/>
    <w:rsid w:val="00A633AB"/>
    <w:rsid w:val="00A65C4B"/>
    <w:rsid w:val="00A85E75"/>
    <w:rsid w:val="00A9225F"/>
    <w:rsid w:val="00A93CBF"/>
    <w:rsid w:val="00AA1FDE"/>
    <w:rsid w:val="00AB3BAB"/>
    <w:rsid w:val="00AC3AA6"/>
    <w:rsid w:val="00AC4C01"/>
    <w:rsid w:val="00AD07F7"/>
    <w:rsid w:val="00AD0DFD"/>
    <w:rsid w:val="00AD4A8A"/>
    <w:rsid w:val="00AE3476"/>
    <w:rsid w:val="00AE49A0"/>
    <w:rsid w:val="00AE673E"/>
    <w:rsid w:val="00B2363D"/>
    <w:rsid w:val="00B31C40"/>
    <w:rsid w:val="00B375AD"/>
    <w:rsid w:val="00B41DD5"/>
    <w:rsid w:val="00B434B1"/>
    <w:rsid w:val="00B449B7"/>
    <w:rsid w:val="00B625E0"/>
    <w:rsid w:val="00B76040"/>
    <w:rsid w:val="00B82E77"/>
    <w:rsid w:val="00B851A2"/>
    <w:rsid w:val="00B92F6D"/>
    <w:rsid w:val="00B94504"/>
    <w:rsid w:val="00BA6C1C"/>
    <w:rsid w:val="00BB1115"/>
    <w:rsid w:val="00BB57CE"/>
    <w:rsid w:val="00BD56F2"/>
    <w:rsid w:val="00BE1322"/>
    <w:rsid w:val="00C20BD9"/>
    <w:rsid w:val="00C403CD"/>
    <w:rsid w:val="00C5607E"/>
    <w:rsid w:val="00C56737"/>
    <w:rsid w:val="00C6147A"/>
    <w:rsid w:val="00C64055"/>
    <w:rsid w:val="00C652ED"/>
    <w:rsid w:val="00C8766A"/>
    <w:rsid w:val="00C9784B"/>
    <w:rsid w:val="00CA29CB"/>
    <w:rsid w:val="00CB168D"/>
    <w:rsid w:val="00CB2724"/>
    <w:rsid w:val="00CC1E26"/>
    <w:rsid w:val="00CC4C89"/>
    <w:rsid w:val="00CD2E9B"/>
    <w:rsid w:val="00CE6DEF"/>
    <w:rsid w:val="00CF0756"/>
    <w:rsid w:val="00D117BC"/>
    <w:rsid w:val="00D12286"/>
    <w:rsid w:val="00D141B8"/>
    <w:rsid w:val="00D36F3A"/>
    <w:rsid w:val="00D51F2E"/>
    <w:rsid w:val="00D63394"/>
    <w:rsid w:val="00D6752A"/>
    <w:rsid w:val="00D762F9"/>
    <w:rsid w:val="00D9078D"/>
    <w:rsid w:val="00D90FEF"/>
    <w:rsid w:val="00D91B4F"/>
    <w:rsid w:val="00D943E2"/>
    <w:rsid w:val="00DA10D4"/>
    <w:rsid w:val="00DC1B88"/>
    <w:rsid w:val="00DF3317"/>
    <w:rsid w:val="00E0570C"/>
    <w:rsid w:val="00E05A3B"/>
    <w:rsid w:val="00E13371"/>
    <w:rsid w:val="00E14F6B"/>
    <w:rsid w:val="00E36E38"/>
    <w:rsid w:val="00E509CB"/>
    <w:rsid w:val="00E5106E"/>
    <w:rsid w:val="00E52394"/>
    <w:rsid w:val="00E55924"/>
    <w:rsid w:val="00E6003E"/>
    <w:rsid w:val="00E639D1"/>
    <w:rsid w:val="00E82035"/>
    <w:rsid w:val="00E91892"/>
    <w:rsid w:val="00EA011F"/>
    <w:rsid w:val="00EA232B"/>
    <w:rsid w:val="00EB17CC"/>
    <w:rsid w:val="00EB2B7C"/>
    <w:rsid w:val="00EC0B23"/>
    <w:rsid w:val="00EC63C3"/>
    <w:rsid w:val="00ED5627"/>
    <w:rsid w:val="00EE0E47"/>
    <w:rsid w:val="00EE25F4"/>
    <w:rsid w:val="00EE45CB"/>
    <w:rsid w:val="00EF175F"/>
    <w:rsid w:val="00F12972"/>
    <w:rsid w:val="00F13244"/>
    <w:rsid w:val="00F14F34"/>
    <w:rsid w:val="00F23CBD"/>
    <w:rsid w:val="00F3254A"/>
    <w:rsid w:val="00F37C35"/>
    <w:rsid w:val="00F43634"/>
    <w:rsid w:val="00F45909"/>
    <w:rsid w:val="00F53CB7"/>
    <w:rsid w:val="00F73D99"/>
    <w:rsid w:val="00F80272"/>
    <w:rsid w:val="00F8363D"/>
    <w:rsid w:val="00F924C5"/>
    <w:rsid w:val="00FB135D"/>
    <w:rsid w:val="00FB37F6"/>
    <w:rsid w:val="00FB5C1D"/>
    <w:rsid w:val="00FB69C3"/>
    <w:rsid w:val="00FC0606"/>
    <w:rsid w:val="00FC1B66"/>
    <w:rsid w:val="00FC78E1"/>
    <w:rsid w:val="00FE73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33AD6F9-265A-463A-857F-FB2D2A900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71444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71444D"/>
    <w:rPr>
      <w:sz w:val="20"/>
      <w:szCs w:val="20"/>
    </w:rPr>
  </w:style>
  <w:style w:type="character" w:styleId="Rimandonotaapidipagina">
    <w:name w:val="footnote reference"/>
    <w:basedOn w:val="Carpredefinitoparagrafo"/>
    <w:uiPriority w:val="99"/>
    <w:unhideWhenUsed/>
    <w:rsid w:val="0071444D"/>
    <w:rPr>
      <w:vertAlign w:val="superscript"/>
    </w:rPr>
  </w:style>
  <w:style w:type="paragraph" w:styleId="Paragrafoelenco">
    <w:name w:val="List Paragraph"/>
    <w:basedOn w:val="Normale"/>
    <w:uiPriority w:val="34"/>
    <w:qFormat/>
    <w:rsid w:val="00C6147A"/>
    <w:pPr>
      <w:ind w:left="720"/>
      <w:contextualSpacing/>
    </w:pPr>
  </w:style>
  <w:style w:type="paragraph" w:styleId="Intestazione">
    <w:name w:val="header"/>
    <w:basedOn w:val="Normale"/>
    <w:link w:val="IntestazioneCarattere"/>
    <w:uiPriority w:val="99"/>
    <w:unhideWhenUsed/>
    <w:rsid w:val="00CB16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B168D"/>
  </w:style>
  <w:style w:type="paragraph" w:styleId="Pidipagina">
    <w:name w:val="footer"/>
    <w:basedOn w:val="Normale"/>
    <w:link w:val="PidipaginaCarattere"/>
    <w:uiPriority w:val="99"/>
    <w:unhideWhenUsed/>
    <w:rsid w:val="00CB16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168D"/>
  </w:style>
  <w:style w:type="character" w:styleId="Numeropagina">
    <w:name w:val="page number"/>
    <w:basedOn w:val="Carpredefinitoparagrafo"/>
    <w:uiPriority w:val="99"/>
    <w:unhideWhenUsed/>
    <w:rsid w:val="00CB168D"/>
  </w:style>
  <w:style w:type="paragraph" w:styleId="Testofumetto">
    <w:name w:val="Balloon Text"/>
    <w:basedOn w:val="Normale"/>
    <w:link w:val="TestofumettoCarattere"/>
    <w:uiPriority w:val="99"/>
    <w:semiHidden/>
    <w:unhideWhenUsed/>
    <w:rsid w:val="00642CC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2CCE"/>
    <w:rPr>
      <w:rFonts w:ascii="Segoe UI" w:hAnsi="Segoe UI" w:cs="Segoe UI"/>
      <w:sz w:val="18"/>
      <w:szCs w:val="18"/>
    </w:rPr>
  </w:style>
  <w:style w:type="paragraph" w:styleId="NormaleWeb">
    <w:name w:val="Normal (Web)"/>
    <w:basedOn w:val="Normale"/>
    <w:uiPriority w:val="99"/>
    <w:semiHidden/>
    <w:unhideWhenUsed/>
    <w:rsid w:val="00D117BC"/>
    <w:pPr>
      <w:spacing w:before="100" w:beforeAutospacing="1" w:after="100" w:afterAutospacing="1" w:line="240" w:lineRule="auto"/>
    </w:pPr>
    <w:rPr>
      <w:rFonts w:ascii="Times New Roman" w:eastAsiaTheme="minorEastAsia" w:hAnsi="Times New Roman" w:cs="Times New Roman"/>
      <w:sz w:val="24"/>
      <w:szCs w:val="24"/>
      <w:lang w:eastAsia="it-IT"/>
    </w:rPr>
  </w:style>
  <w:style w:type="table" w:styleId="Grigliatabella">
    <w:name w:val="Table Grid"/>
    <w:basedOn w:val="Tabellanormale"/>
    <w:uiPriority w:val="39"/>
    <w:rsid w:val="00572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E509CB"/>
    <w:pPr>
      <w:spacing w:after="0" w:line="240" w:lineRule="auto"/>
    </w:pPr>
    <w:rPr>
      <w:rFonts w:eastAsiaTheme="minorEastAsia"/>
      <w:color w:val="2E74B5" w:themeColor="accent1" w:themeShade="BF"/>
      <w:sz w:val="24"/>
      <w:szCs w:val="24"/>
      <w:lang w:eastAsia="it-I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fondochiaro-Colore2">
    <w:name w:val="Light Shading Accent 2"/>
    <w:basedOn w:val="Tabellanormale"/>
    <w:uiPriority w:val="60"/>
    <w:rsid w:val="00E509CB"/>
    <w:pPr>
      <w:spacing w:after="0" w:line="240" w:lineRule="auto"/>
    </w:pPr>
    <w:rPr>
      <w:rFonts w:eastAsiaTheme="minorEastAsia"/>
      <w:color w:val="C45911" w:themeColor="accent2" w:themeShade="BF"/>
      <w:sz w:val="24"/>
      <w:szCs w:val="24"/>
      <w:lang w:eastAsia="it-IT"/>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fondochiaro-Colore5">
    <w:name w:val="Light Shading Accent 5"/>
    <w:basedOn w:val="Tabellanormale"/>
    <w:uiPriority w:val="60"/>
    <w:rsid w:val="002D2ABB"/>
    <w:pPr>
      <w:spacing w:after="0" w:line="240" w:lineRule="auto"/>
    </w:pPr>
    <w:rPr>
      <w:rFonts w:eastAsiaTheme="minorEastAsia"/>
      <w:color w:val="2F5496" w:themeColor="accent5" w:themeShade="BF"/>
      <w:sz w:val="24"/>
      <w:szCs w:val="24"/>
      <w:lang w:eastAsia="it-IT"/>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fondochiaro">
    <w:name w:val="Light Shading"/>
    <w:basedOn w:val="Tabellanormale"/>
    <w:uiPriority w:val="60"/>
    <w:rsid w:val="002D2ABB"/>
    <w:pPr>
      <w:spacing w:after="0" w:line="240" w:lineRule="auto"/>
    </w:pPr>
    <w:rPr>
      <w:rFonts w:eastAsiaTheme="minorEastAsia"/>
      <w:color w:val="000000" w:themeColor="text1" w:themeShade="BF"/>
      <w:sz w:val="24"/>
      <w:szCs w:val="24"/>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1540">
      <w:bodyDiv w:val="1"/>
      <w:marLeft w:val="0"/>
      <w:marRight w:val="0"/>
      <w:marTop w:val="0"/>
      <w:marBottom w:val="0"/>
      <w:divBdr>
        <w:top w:val="none" w:sz="0" w:space="0" w:color="auto"/>
        <w:left w:val="none" w:sz="0" w:space="0" w:color="auto"/>
        <w:bottom w:val="none" w:sz="0" w:space="0" w:color="auto"/>
        <w:right w:val="none" w:sz="0" w:space="0" w:color="auto"/>
      </w:divBdr>
    </w:div>
    <w:div w:id="140928721">
      <w:bodyDiv w:val="1"/>
      <w:marLeft w:val="0"/>
      <w:marRight w:val="0"/>
      <w:marTop w:val="0"/>
      <w:marBottom w:val="0"/>
      <w:divBdr>
        <w:top w:val="none" w:sz="0" w:space="0" w:color="auto"/>
        <w:left w:val="none" w:sz="0" w:space="0" w:color="auto"/>
        <w:bottom w:val="none" w:sz="0" w:space="0" w:color="auto"/>
        <w:right w:val="none" w:sz="0" w:space="0" w:color="auto"/>
      </w:divBdr>
    </w:div>
    <w:div w:id="172914582">
      <w:bodyDiv w:val="1"/>
      <w:marLeft w:val="0"/>
      <w:marRight w:val="0"/>
      <w:marTop w:val="0"/>
      <w:marBottom w:val="0"/>
      <w:divBdr>
        <w:top w:val="none" w:sz="0" w:space="0" w:color="auto"/>
        <w:left w:val="none" w:sz="0" w:space="0" w:color="auto"/>
        <w:bottom w:val="none" w:sz="0" w:space="0" w:color="auto"/>
        <w:right w:val="none" w:sz="0" w:space="0" w:color="auto"/>
      </w:divBdr>
    </w:div>
    <w:div w:id="173037467">
      <w:bodyDiv w:val="1"/>
      <w:marLeft w:val="0"/>
      <w:marRight w:val="0"/>
      <w:marTop w:val="0"/>
      <w:marBottom w:val="0"/>
      <w:divBdr>
        <w:top w:val="none" w:sz="0" w:space="0" w:color="auto"/>
        <w:left w:val="none" w:sz="0" w:space="0" w:color="auto"/>
        <w:bottom w:val="none" w:sz="0" w:space="0" w:color="auto"/>
        <w:right w:val="none" w:sz="0" w:space="0" w:color="auto"/>
      </w:divBdr>
    </w:div>
    <w:div w:id="354766699">
      <w:bodyDiv w:val="1"/>
      <w:marLeft w:val="0"/>
      <w:marRight w:val="0"/>
      <w:marTop w:val="0"/>
      <w:marBottom w:val="0"/>
      <w:divBdr>
        <w:top w:val="none" w:sz="0" w:space="0" w:color="auto"/>
        <w:left w:val="none" w:sz="0" w:space="0" w:color="auto"/>
        <w:bottom w:val="none" w:sz="0" w:space="0" w:color="auto"/>
        <w:right w:val="none" w:sz="0" w:space="0" w:color="auto"/>
      </w:divBdr>
    </w:div>
    <w:div w:id="415903721">
      <w:bodyDiv w:val="1"/>
      <w:marLeft w:val="0"/>
      <w:marRight w:val="0"/>
      <w:marTop w:val="0"/>
      <w:marBottom w:val="0"/>
      <w:divBdr>
        <w:top w:val="none" w:sz="0" w:space="0" w:color="auto"/>
        <w:left w:val="none" w:sz="0" w:space="0" w:color="auto"/>
        <w:bottom w:val="none" w:sz="0" w:space="0" w:color="auto"/>
        <w:right w:val="none" w:sz="0" w:space="0" w:color="auto"/>
      </w:divBdr>
    </w:div>
    <w:div w:id="457376090">
      <w:bodyDiv w:val="1"/>
      <w:marLeft w:val="0"/>
      <w:marRight w:val="0"/>
      <w:marTop w:val="0"/>
      <w:marBottom w:val="0"/>
      <w:divBdr>
        <w:top w:val="none" w:sz="0" w:space="0" w:color="auto"/>
        <w:left w:val="none" w:sz="0" w:space="0" w:color="auto"/>
        <w:bottom w:val="none" w:sz="0" w:space="0" w:color="auto"/>
        <w:right w:val="none" w:sz="0" w:space="0" w:color="auto"/>
      </w:divBdr>
    </w:div>
    <w:div w:id="476411642">
      <w:bodyDiv w:val="1"/>
      <w:marLeft w:val="0"/>
      <w:marRight w:val="0"/>
      <w:marTop w:val="0"/>
      <w:marBottom w:val="0"/>
      <w:divBdr>
        <w:top w:val="none" w:sz="0" w:space="0" w:color="auto"/>
        <w:left w:val="none" w:sz="0" w:space="0" w:color="auto"/>
        <w:bottom w:val="none" w:sz="0" w:space="0" w:color="auto"/>
        <w:right w:val="none" w:sz="0" w:space="0" w:color="auto"/>
      </w:divBdr>
    </w:div>
    <w:div w:id="486212999">
      <w:bodyDiv w:val="1"/>
      <w:marLeft w:val="0"/>
      <w:marRight w:val="0"/>
      <w:marTop w:val="0"/>
      <w:marBottom w:val="0"/>
      <w:divBdr>
        <w:top w:val="none" w:sz="0" w:space="0" w:color="auto"/>
        <w:left w:val="none" w:sz="0" w:space="0" w:color="auto"/>
        <w:bottom w:val="none" w:sz="0" w:space="0" w:color="auto"/>
        <w:right w:val="none" w:sz="0" w:space="0" w:color="auto"/>
      </w:divBdr>
    </w:div>
    <w:div w:id="532112425">
      <w:bodyDiv w:val="1"/>
      <w:marLeft w:val="0"/>
      <w:marRight w:val="0"/>
      <w:marTop w:val="0"/>
      <w:marBottom w:val="0"/>
      <w:divBdr>
        <w:top w:val="none" w:sz="0" w:space="0" w:color="auto"/>
        <w:left w:val="none" w:sz="0" w:space="0" w:color="auto"/>
        <w:bottom w:val="none" w:sz="0" w:space="0" w:color="auto"/>
        <w:right w:val="none" w:sz="0" w:space="0" w:color="auto"/>
      </w:divBdr>
    </w:div>
    <w:div w:id="569312157">
      <w:bodyDiv w:val="1"/>
      <w:marLeft w:val="0"/>
      <w:marRight w:val="0"/>
      <w:marTop w:val="0"/>
      <w:marBottom w:val="0"/>
      <w:divBdr>
        <w:top w:val="none" w:sz="0" w:space="0" w:color="auto"/>
        <w:left w:val="none" w:sz="0" w:space="0" w:color="auto"/>
        <w:bottom w:val="none" w:sz="0" w:space="0" w:color="auto"/>
        <w:right w:val="none" w:sz="0" w:space="0" w:color="auto"/>
      </w:divBdr>
    </w:div>
    <w:div w:id="635989486">
      <w:bodyDiv w:val="1"/>
      <w:marLeft w:val="0"/>
      <w:marRight w:val="0"/>
      <w:marTop w:val="0"/>
      <w:marBottom w:val="0"/>
      <w:divBdr>
        <w:top w:val="none" w:sz="0" w:space="0" w:color="auto"/>
        <w:left w:val="none" w:sz="0" w:space="0" w:color="auto"/>
        <w:bottom w:val="none" w:sz="0" w:space="0" w:color="auto"/>
        <w:right w:val="none" w:sz="0" w:space="0" w:color="auto"/>
      </w:divBdr>
    </w:div>
    <w:div w:id="654990752">
      <w:bodyDiv w:val="1"/>
      <w:marLeft w:val="0"/>
      <w:marRight w:val="0"/>
      <w:marTop w:val="0"/>
      <w:marBottom w:val="0"/>
      <w:divBdr>
        <w:top w:val="none" w:sz="0" w:space="0" w:color="auto"/>
        <w:left w:val="none" w:sz="0" w:space="0" w:color="auto"/>
        <w:bottom w:val="none" w:sz="0" w:space="0" w:color="auto"/>
        <w:right w:val="none" w:sz="0" w:space="0" w:color="auto"/>
      </w:divBdr>
    </w:div>
    <w:div w:id="662125142">
      <w:bodyDiv w:val="1"/>
      <w:marLeft w:val="0"/>
      <w:marRight w:val="0"/>
      <w:marTop w:val="0"/>
      <w:marBottom w:val="0"/>
      <w:divBdr>
        <w:top w:val="none" w:sz="0" w:space="0" w:color="auto"/>
        <w:left w:val="none" w:sz="0" w:space="0" w:color="auto"/>
        <w:bottom w:val="none" w:sz="0" w:space="0" w:color="auto"/>
        <w:right w:val="none" w:sz="0" w:space="0" w:color="auto"/>
      </w:divBdr>
    </w:div>
    <w:div w:id="672606377">
      <w:bodyDiv w:val="1"/>
      <w:marLeft w:val="0"/>
      <w:marRight w:val="0"/>
      <w:marTop w:val="0"/>
      <w:marBottom w:val="0"/>
      <w:divBdr>
        <w:top w:val="none" w:sz="0" w:space="0" w:color="auto"/>
        <w:left w:val="none" w:sz="0" w:space="0" w:color="auto"/>
        <w:bottom w:val="none" w:sz="0" w:space="0" w:color="auto"/>
        <w:right w:val="none" w:sz="0" w:space="0" w:color="auto"/>
      </w:divBdr>
    </w:div>
    <w:div w:id="678581679">
      <w:bodyDiv w:val="1"/>
      <w:marLeft w:val="0"/>
      <w:marRight w:val="0"/>
      <w:marTop w:val="0"/>
      <w:marBottom w:val="0"/>
      <w:divBdr>
        <w:top w:val="none" w:sz="0" w:space="0" w:color="auto"/>
        <w:left w:val="none" w:sz="0" w:space="0" w:color="auto"/>
        <w:bottom w:val="none" w:sz="0" w:space="0" w:color="auto"/>
        <w:right w:val="none" w:sz="0" w:space="0" w:color="auto"/>
      </w:divBdr>
    </w:div>
    <w:div w:id="687561315">
      <w:bodyDiv w:val="1"/>
      <w:marLeft w:val="0"/>
      <w:marRight w:val="0"/>
      <w:marTop w:val="0"/>
      <w:marBottom w:val="0"/>
      <w:divBdr>
        <w:top w:val="none" w:sz="0" w:space="0" w:color="auto"/>
        <w:left w:val="none" w:sz="0" w:space="0" w:color="auto"/>
        <w:bottom w:val="none" w:sz="0" w:space="0" w:color="auto"/>
        <w:right w:val="none" w:sz="0" w:space="0" w:color="auto"/>
      </w:divBdr>
    </w:div>
    <w:div w:id="694188624">
      <w:bodyDiv w:val="1"/>
      <w:marLeft w:val="0"/>
      <w:marRight w:val="0"/>
      <w:marTop w:val="0"/>
      <w:marBottom w:val="0"/>
      <w:divBdr>
        <w:top w:val="none" w:sz="0" w:space="0" w:color="auto"/>
        <w:left w:val="none" w:sz="0" w:space="0" w:color="auto"/>
        <w:bottom w:val="none" w:sz="0" w:space="0" w:color="auto"/>
        <w:right w:val="none" w:sz="0" w:space="0" w:color="auto"/>
      </w:divBdr>
    </w:div>
    <w:div w:id="795024048">
      <w:bodyDiv w:val="1"/>
      <w:marLeft w:val="0"/>
      <w:marRight w:val="0"/>
      <w:marTop w:val="0"/>
      <w:marBottom w:val="0"/>
      <w:divBdr>
        <w:top w:val="none" w:sz="0" w:space="0" w:color="auto"/>
        <w:left w:val="none" w:sz="0" w:space="0" w:color="auto"/>
        <w:bottom w:val="none" w:sz="0" w:space="0" w:color="auto"/>
        <w:right w:val="none" w:sz="0" w:space="0" w:color="auto"/>
      </w:divBdr>
    </w:div>
    <w:div w:id="904416487">
      <w:bodyDiv w:val="1"/>
      <w:marLeft w:val="0"/>
      <w:marRight w:val="0"/>
      <w:marTop w:val="0"/>
      <w:marBottom w:val="0"/>
      <w:divBdr>
        <w:top w:val="none" w:sz="0" w:space="0" w:color="auto"/>
        <w:left w:val="none" w:sz="0" w:space="0" w:color="auto"/>
        <w:bottom w:val="none" w:sz="0" w:space="0" w:color="auto"/>
        <w:right w:val="none" w:sz="0" w:space="0" w:color="auto"/>
      </w:divBdr>
    </w:div>
    <w:div w:id="920798623">
      <w:bodyDiv w:val="1"/>
      <w:marLeft w:val="0"/>
      <w:marRight w:val="0"/>
      <w:marTop w:val="0"/>
      <w:marBottom w:val="0"/>
      <w:divBdr>
        <w:top w:val="none" w:sz="0" w:space="0" w:color="auto"/>
        <w:left w:val="none" w:sz="0" w:space="0" w:color="auto"/>
        <w:bottom w:val="none" w:sz="0" w:space="0" w:color="auto"/>
        <w:right w:val="none" w:sz="0" w:space="0" w:color="auto"/>
      </w:divBdr>
    </w:div>
    <w:div w:id="932322762">
      <w:bodyDiv w:val="1"/>
      <w:marLeft w:val="0"/>
      <w:marRight w:val="0"/>
      <w:marTop w:val="0"/>
      <w:marBottom w:val="0"/>
      <w:divBdr>
        <w:top w:val="none" w:sz="0" w:space="0" w:color="auto"/>
        <w:left w:val="none" w:sz="0" w:space="0" w:color="auto"/>
        <w:bottom w:val="none" w:sz="0" w:space="0" w:color="auto"/>
        <w:right w:val="none" w:sz="0" w:space="0" w:color="auto"/>
      </w:divBdr>
    </w:div>
    <w:div w:id="940070305">
      <w:bodyDiv w:val="1"/>
      <w:marLeft w:val="0"/>
      <w:marRight w:val="0"/>
      <w:marTop w:val="0"/>
      <w:marBottom w:val="0"/>
      <w:divBdr>
        <w:top w:val="none" w:sz="0" w:space="0" w:color="auto"/>
        <w:left w:val="none" w:sz="0" w:space="0" w:color="auto"/>
        <w:bottom w:val="none" w:sz="0" w:space="0" w:color="auto"/>
        <w:right w:val="none" w:sz="0" w:space="0" w:color="auto"/>
      </w:divBdr>
    </w:div>
    <w:div w:id="952327384">
      <w:bodyDiv w:val="1"/>
      <w:marLeft w:val="0"/>
      <w:marRight w:val="0"/>
      <w:marTop w:val="0"/>
      <w:marBottom w:val="0"/>
      <w:divBdr>
        <w:top w:val="none" w:sz="0" w:space="0" w:color="auto"/>
        <w:left w:val="none" w:sz="0" w:space="0" w:color="auto"/>
        <w:bottom w:val="none" w:sz="0" w:space="0" w:color="auto"/>
        <w:right w:val="none" w:sz="0" w:space="0" w:color="auto"/>
      </w:divBdr>
    </w:div>
    <w:div w:id="1114011154">
      <w:bodyDiv w:val="1"/>
      <w:marLeft w:val="0"/>
      <w:marRight w:val="0"/>
      <w:marTop w:val="0"/>
      <w:marBottom w:val="0"/>
      <w:divBdr>
        <w:top w:val="none" w:sz="0" w:space="0" w:color="auto"/>
        <w:left w:val="none" w:sz="0" w:space="0" w:color="auto"/>
        <w:bottom w:val="none" w:sz="0" w:space="0" w:color="auto"/>
        <w:right w:val="none" w:sz="0" w:space="0" w:color="auto"/>
      </w:divBdr>
    </w:div>
    <w:div w:id="1155681297">
      <w:bodyDiv w:val="1"/>
      <w:marLeft w:val="0"/>
      <w:marRight w:val="0"/>
      <w:marTop w:val="0"/>
      <w:marBottom w:val="0"/>
      <w:divBdr>
        <w:top w:val="none" w:sz="0" w:space="0" w:color="auto"/>
        <w:left w:val="none" w:sz="0" w:space="0" w:color="auto"/>
        <w:bottom w:val="none" w:sz="0" w:space="0" w:color="auto"/>
        <w:right w:val="none" w:sz="0" w:space="0" w:color="auto"/>
      </w:divBdr>
    </w:div>
    <w:div w:id="1156990619">
      <w:bodyDiv w:val="1"/>
      <w:marLeft w:val="0"/>
      <w:marRight w:val="0"/>
      <w:marTop w:val="0"/>
      <w:marBottom w:val="0"/>
      <w:divBdr>
        <w:top w:val="none" w:sz="0" w:space="0" w:color="auto"/>
        <w:left w:val="none" w:sz="0" w:space="0" w:color="auto"/>
        <w:bottom w:val="none" w:sz="0" w:space="0" w:color="auto"/>
        <w:right w:val="none" w:sz="0" w:space="0" w:color="auto"/>
      </w:divBdr>
    </w:div>
    <w:div w:id="1186485695">
      <w:bodyDiv w:val="1"/>
      <w:marLeft w:val="0"/>
      <w:marRight w:val="0"/>
      <w:marTop w:val="0"/>
      <w:marBottom w:val="0"/>
      <w:divBdr>
        <w:top w:val="none" w:sz="0" w:space="0" w:color="auto"/>
        <w:left w:val="none" w:sz="0" w:space="0" w:color="auto"/>
        <w:bottom w:val="none" w:sz="0" w:space="0" w:color="auto"/>
        <w:right w:val="none" w:sz="0" w:space="0" w:color="auto"/>
      </w:divBdr>
    </w:div>
    <w:div w:id="1204714290">
      <w:bodyDiv w:val="1"/>
      <w:marLeft w:val="0"/>
      <w:marRight w:val="0"/>
      <w:marTop w:val="0"/>
      <w:marBottom w:val="0"/>
      <w:divBdr>
        <w:top w:val="none" w:sz="0" w:space="0" w:color="auto"/>
        <w:left w:val="none" w:sz="0" w:space="0" w:color="auto"/>
        <w:bottom w:val="none" w:sz="0" w:space="0" w:color="auto"/>
        <w:right w:val="none" w:sz="0" w:space="0" w:color="auto"/>
      </w:divBdr>
    </w:div>
    <w:div w:id="1206525795">
      <w:bodyDiv w:val="1"/>
      <w:marLeft w:val="0"/>
      <w:marRight w:val="0"/>
      <w:marTop w:val="0"/>
      <w:marBottom w:val="0"/>
      <w:divBdr>
        <w:top w:val="none" w:sz="0" w:space="0" w:color="auto"/>
        <w:left w:val="none" w:sz="0" w:space="0" w:color="auto"/>
        <w:bottom w:val="none" w:sz="0" w:space="0" w:color="auto"/>
        <w:right w:val="none" w:sz="0" w:space="0" w:color="auto"/>
      </w:divBdr>
    </w:div>
    <w:div w:id="1278953858">
      <w:bodyDiv w:val="1"/>
      <w:marLeft w:val="0"/>
      <w:marRight w:val="0"/>
      <w:marTop w:val="0"/>
      <w:marBottom w:val="0"/>
      <w:divBdr>
        <w:top w:val="none" w:sz="0" w:space="0" w:color="auto"/>
        <w:left w:val="none" w:sz="0" w:space="0" w:color="auto"/>
        <w:bottom w:val="none" w:sz="0" w:space="0" w:color="auto"/>
        <w:right w:val="none" w:sz="0" w:space="0" w:color="auto"/>
      </w:divBdr>
    </w:div>
    <w:div w:id="1301300642">
      <w:bodyDiv w:val="1"/>
      <w:marLeft w:val="0"/>
      <w:marRight w:val="0"/>
      <w:marTop w:val="0"/>
      <w:marBottom w:val="0"/>
      <w:divBdr>
        <w:top w:val="none" w:sz="0" w:space="0" w:color="auto"/>
        <w:left w:val="none" w:sz="0" w:space="0" w:color="auto"/>
        <w:bottom w:val="none" w:sz="0" w:space="0" w:color="auto"/>
        <w:right w:val="none" w:sz="0" w:space="0" w:color="auto"/>
      </w:divBdr>
    </w:div>
    <w:div w:id="1311520003">
      <w:bodyDiv w:val="1"/>
      <w:marLeft w:val="0"/>
      <w:marRight w:val="0"/>
      <w:marTop w:val="0"/>
      <w:marBottom w:val="0"/>
      <w:divBdr>
        <w:top w:val="none" w:sz="0" w:space="0" w:color="auto"/>
        <w:left w:val="none" w:sz="0" w:space="0" w:color="auto"/>
        <w:bottom w:val="none" w:sz="0" w:space="0" w:color="auto"/>
        <w:right w:val="none" w:sz="0" w:space="0" w:color="auto"/>
      </w:divBdr>
    </w:div>
    <w:div w:id="1348755901">
      <w:bodyDiv w:val="1"/>
      <w:marLeft w:val="0"/>
      <w:marRight w:val="0"/>
      <w:marTop w:val="0"/>
      <w:marBottom w:val="0"/>
      <w:divBdr>
        <w:top w:val="none" w:sz="0" w:space="0" w:color="auto"/>
        <w:left w:val="none" w:sz="0" w:space="0" w:color="auto"/>
        <w:bottom w:val="none" w:sz="0" w:space="0" w:color="auto"/>
        <w:right w:val="none" w:sz="0" w:space="0" w:color="auto"/>
      </w:divBdr>
    </w:div>
    <w:div w:id="1358697627">
      <w:bodyDiv w:val="1"/>
      <w:marLeft w:val="0"/>
      <w:marRight w:val="0"/>
      <w:marTop w:val="0"/>
      <w:marBottom w:val="0"/>
      <w:divBdr>
        <w:top w:val="none" w:sz="0" w:space="0" w:color="auto"/>
        <w:left w:val="none" w:sz="0" w:space="0" w:color="auto"/>
        <w:bottom w:val="none" w:sz="0" w:space="0" w:color="auto"/>
        <w:right w:val="none" w:sz="0" w:space="0" w:color="auto"/>
      </w:divBdr>
    </w:div>
    <w:div w:id="1403798109">
      <w:bodyDiv w:val="1"/>
      <w:marLeft w:val="0"/>
      <w:marRight w:val="0"/>
      <w:marTop w:val="0"/>
      <w:marBottom w:val="0"/>
      <w:divBdr>
        <w:top w:val="none" w:sz="0" w:space="0" w:color="auto"/>
        <w:left w:val="none" w:sz="0" w:space="0" w:color="auto"/>
        <w:bottom w:val="none" w:sz="0" w:space="0" w:color="auto"/>
        <w:right w:val="none" w:sz="0" w:space="0" w:color="auto"/>
      </w:divBdr>
    </w:div>
    <w:div w:id="1457526722">
      <w:bodyDiv w:val="1"/>
      <w:marLeft w:val="0"/>
      <w:marRight w:val="0"/>
      <w:marTop w:val="0"/>
      <w:marBottom w:val="0"/>
      <w:divBdr>
        <w:top w:val="none" w:sz="0" w:space="0" w:color="auto"/>
        <w:left w:val="none" w:sz="0" w:space="0" w:color="auto"/>
        <w:bottom w:val="none" w:sz="0" w:space="0" w:color="auto"/>
        <w:right w:val="none" w:sz="0" w:space="0" w:color="auto"/>
      </w:divBdr>
    </w:div>
    <w:div w:id="1487546642">
      <w:bodyDiv w:val="1"/>
      <w:marLeft w:val="0"/>
      <w:marRight w:val="0"/>
      <w:marTop w:val="0"/>
      <w:marBottom w:val="0"/>
      <w:divBdr>
        <w:top w:val="none" w:sz="0" w:space="0" w:color="auto"/>
        <w:left w:val="none" w:sz="0" w:space="0" w:color="auto"/>
        <w:bottom w:val="none" w:sz="0" w:space="0" w:color="auto"/>
        <w:right w:val="none" w:sz="0" w:space="0" w:color="auto"/>
      </w:divBdr>
    </w:div>
    <w:div w:id="1508522450">
      <w:bodyDiv w:val="1"/>
      <w:marLeft w:val="0"/>
      <w:marRight w:val="0"/>
      <w:marTop w:val="0"/>
      <w:marBottom w:val="0"/>
      <w:divBdr>
        <w:top w:val="none" w:sz="0" w:space="0" w:color="auto"/>
        <w:left w:val="none" w:sz="0" w:space="0" w:color="auto"/>
        <w:bottom w:val="none" w:sz="0" w:space="0" w:color="auto"/>
        <w:right w:val="none" w:sz="0" w:space="0" w:color="auto"/>
      </w:divBdr>
    </w:div>
    <w:div w:id="1532449491">
      <w:bodyDiv w:val="1"/>
      <w:marLeft w:val="0"/>
      <w:marRight w:val="0"/>
      <w:marTop w:val="0"/>
      <w:marBottom w:val="0"/>
      <w:divBdr>
        <w:top w:val="none" w:sz="0" w:space="0" w:color="auto"/>
        <w:left w:val="none" w:sz="0" w:space="0" w:color="auto"/>
        <w:bottom w:val="none" w:sz="0" w:space="0" w:color="auto"/>
        <w:right w:val="none" w:sz="0" w:space="0" w:color="auto"/>
      </w:divBdr>
    </w:div>
    <w:div w:id="1577084160">
      <w:bodyDiv w:val="1"/>
      <w:marLeft w:val="0"/>
      <w:marRight w:val="0"/>
      <w:marTop w:val="0"/>
      <w:marBottom w:val="0"/>
      <w:divBdr>
        <w:top w:val="none" w:sz="0" w:space="0" w:color="auto"/>
        <w:left w:val="none" w:sz="0" w:space="0" w:color="auto"/>
        <w:bottom w:val="none" w:sz="0" w:space="0" w:color="auto"/>
        <w:right w:val="none" w:sz="0" w:space="0" w:color="auto"/>
      </w:divBdr>
    </w:div>
    <w:div w:id="1583442136">
      <w:bodyDiv w:val="1"/>
      <w:marLeft w:val="0"/>
      <w:marRight w:val="0"/>
      <w:marTop w:val="0"/>
      <w:marBottom w:val="0"/>
      <w:divBdr>
        <w:top w:val="none" w:sz="0" w:space="0" w:color="auto"/>
        <w:left w:val="none" w:sz="0" w:space="0" w:color="auto"/>
        <w:bottom w:val="none" w:sz="0" w:space="0" w:color="auto"/>
        <w:right w:val="none" w:sz="0" w:space="0" w:color="auto"/>
      </w:divBdr>
    </w:div>
    <w:div w:id="1619142083">
      <w:bodyDiv w:val="1"/>
      <w:marLeft w:val="0"/>
      <w:marRight w:val="0"/>
      <w:marTop w:val="0"/>
      <w:marBottom w:val="0"/>
      <w:divBdr>
        <w:top w:val="none" w:sz="0" w:space="0" w:color="auto"/>
        <w:left w:val="none" w:sz="0" w:space="0" w:color="auto"/>
        <w:bottom w:val="none" w:sz="0" w:space="0" w:color="auto"/>
        <w:right w:val="none" w:sz="0" w:space="0" w:color="auto"/>
      </w:divBdr>
    </w:div>
    <w:div w:id="1634870416">
      <w:bodyDiv w:val="1"/>
      <w:marLeft w:val="0"/>
      <w:marRight w:val="0"/>
      <w:marTop w:val="0"/>
      <w:marBottom w:val="0"/>
      <w:divBdr>
        <w:top w:val="none" w:sz="0" w:space="0" w:color="auto"/>
        <w:left w:val="none" w:sz="0" w:space="0" w:color="auto"/>
        <w:bottom w:val="none" w:sz="0" w:space="0" w:color="auto"/>
        <w:right w:val="none" w:sz="0" w:space="0" w:color="auto"/>
      </w:divBdr>
    </w:div>
    <w:div w:id="1702852845">
      <w:bodyDiv w:val="1"/>
      <w:marLeft w:val="0"/>
      <w:marRight w:val="0"/>
      <w:marTop w:val="0"/>
      <w:marBottom w:val="0"/>
      <w:divBdr>
        <w:top w:val="none" w:sz="0" w:space="0" w:color="auto"/>
        <w:left w:val="none" w:sz="0" w:space="0" w:color="auto"/>
        <w:bottom w:val="none" w:sz="0" w:space="0" w:color="auto"/>
        <w:right w:val="none" w:sz="0" w:space="0" w:color="auto"/>
      </w:divBdr>
    </w:div>
    <w:div w:id="1827162793">
      <w:bodyDiv w:val="1"/>
      <w:marLeft w:val="0"/>
      <w:marRight w:val="0"/>
      <w:marTop w:val="0"/>
      <w:marBottom w:val="0"/>
      <w:divBdr>
        <w:top w:val="none" w:sz="0" w:space="0" w:color="auto"/>
        <w:left w:val="none" w:sz="0" w:space="0" w:color="auto"/>
        <w:bottom w:val="none" w:sz="0" w:space="0" w:color="auto"/>
        <w:right w:val="none" w:sz="0" w:space="0" w:color="auto"/>
      </w:divBdr>
    </w:div>
    <w:div w:id="1832022455">
      <w:bodyDiv w:val="1"/>
      <w:marLeft w:val="0"/>
      <w:marRight w:val="0"/>
      <w:marTop w:val="0"/>
      <w:marBottom w:val="0"/>
      <w:divBdr>
        <w:top w:val="none" w:sz="0" w:space="0" w:color="auto"/>
        <w:left w:val="none" w:sz="0" w:space="0" w:color="auto"/>
        <w:bottom w:val="none" w:sz="0" w:space="0" w:color="auto"/>
        <w:right w:val="none" w:sz="0" w:space="0" w:color="auto"/>
      </w:divBdr>
    </w:div>
    <w:div w:id="1932425039">
      <w:bodyDiv w:val="1"/>
      <w:marLeft w:val="0"/>
      <w:marRight w:val="0"/>
      <w:marTop w:val="0"/>
      <w:marBottom w:val="0"/>
      <w:divBdr>
        <w:top w:val="none" w:sz="0" w:space="0" w:color="auto"/>
        <w:left w:val="none" w:sz="0" w:space="0" w:color="auto"/>
        <w:bottom w:val="none" w:sz="0" w:space="0" w:color="auto"/>
        <w:right w:val="none" w:sz="0" w:space="0" w:color="auto"/>
      </w:divBdr>
    </w:div>
    <w:div w:id="1949000309">
      <w:bodyDiv w:val="1"/>
      <w:marLeft w:val="0"/>
      <w:marRight w:val="0"/>
      <w:marTop w:val="0"/>
      <w:marBottom w:val="0"/>
      <w:divBdr>
        <w:top w:val="none" w:sz="0" w:space="0" w:color="auto"/>
        <w:left w:val="none" w:sz="0" w:space="0" w:color="auto"/>
        <w:bottom w:val="none" w:sz="0" w:space="0" w:color="auto"/>
        <w:right w:val="none" w:sz="0" w:space="0" w:color="auto"/>
      </w:divBdr>
    </w:div>
    <w:div w:id="2001348077">
      <w:bodyDiv w:val="1"/>
      <w:marLeft w:val="0"/>
      <w:marRight w:val="0"/>
      <w:marTop w:val="0"/>
      <w:marBottom w:val="0"/>
      <w:divBdr>
        <w:top w:val="none" w:sz="0" w:space="0" w:color="auto"/>
        <w:left w:val="none" w:sz="0" w:space="0" w:color="auto"/>
        <w:bottom w:val="none" w:sz="0" w:space="0" w:color="auto"/>
        <w:right w:val="none" w:sz="0" w:space="0" w:color="auto"/>
      </w:divBdr>
    </w:div>
    <w:div w:id="2049992438">
      <w:bodyDiv w:val="1"/>
      <w:marLeft w:val="0"/>
      <w:marRight w:val="0"/>
      <w:marTop w:val="0"/>
      <w:marBottom w:val="0"/>
      <w:divBdr>
        <w:top w:val="none" w:sz="0" w:space="0" w:color="auto"/>
        <w:left w:val="none" w:sz="0" w:space="0" w:color="auto"/>
        <w:bottom w:val="none" w:sz="0" w:space="0" w:color="auto"/>
        <w:right w:val="none" w:sz="0" w:space="0" w:color="auto"/>
      </w:divBdr>
    </w:div>
    <w:div w:id="2060859480">
      <w:bodyDiv w:val="1"/>
      <w:marLeft w:val="0"/>
      <w:marRight w:val="0"/>
      <w:marTop w:val="0"/>
      <w:marBottom w:val="0"/>
      <w:divBdr>
        <w:top w:val="none" w:sz="0" w:space="0" w:color="auto"/>
        <w:left w:val="none" w:sz="0" w:space="0" w:color="auto"/>
        <w:bottom w:val="none" w:sz="0" w:space="0" w:color="auto"/>
        <w:right w:val="none" w:sz="0" w:space="0" w:color="auto"/>
      </w:divBdr>
    </w:div>
    <w:div w:id="2121563468">
      <w:bodyDiv w:val="1"/>
      <w:marLeft w:val="0"/>
      <w:marRight w:val="0"/>
      <w:marTop w:val="0"/>
      <w:marBottom w:val="0"/>
      <w:divBdr>
        <w:top w:val="none" w:sz="0" w:space="0" w:color="auto"/>
        <w:left w:val="none" w:sz="0" w:space="0" w:color="auto"/>
        <w:bottom w:val="none" w:sz="0" w:space="0" w:color="auto"/>
        <w:right w:val="none" w:sz="0" w:space="0" w:color="auto"/>
      </w:divBdr>
    </w:div>
    <w:div w:id="213405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Marte\camaleonte\Rapporto%20Annuale\XV%20Rapporto%20Annuale\Appendice\Per%20impaginazione\Appendice%20statistica%20Rapporto%20Annuale%20Federculture_27-09-2019_F_G.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Marte\camaleonte\Rapporto%20Annuale\XV%20Rapporto%20Annuale\Appendice\Per%20impaginazione\Appendice%20statistica%20Rapporto%20Annuale%20Federculture_27-09-2019_F_G.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Marte\camaleonte\Rapporto%20Annuale\XV%20Rapporto%20Annuale\Appendice\Per%20impaginazione\Appendice%20statistica%20Rapporto%20Annuale%20Federculture_testi_3-10-2019_F.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oleObject" Target="file:///\\Marte\camaleonte\Rapporto%20Annuale\XV%20Rapporto%20Annuale\Appendice\Per%20impaginazione\Appendice%20statistica%20Rapporto%20Annuale%20Federculture_27-09-2019_F_G.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Marte\camaleonte\Dati\Finanziamenti\Privati\Art%20bonus\Art%20bonus_ottobre2019.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'P12'!$C$57:$G$57</c:f>
              <c:strCache>
                <c:ptCount val="5"/>
                <c:pt idx="0">
                  <c:v>Nord-ovest</c:v>
                </c:pt>
                <c:pt idx="1">
                  <c:v>Nord-est</c:v>
                </c:pt>
                <c:pt idx="2">
                  <c:v>Centro</c:v>
                </c:pt>
                <c:pt idx="3">
                  <c:v>Sud</c:v>
                </c:pt>
                <c:pt idx="4">
                  <c:v>Isole</c:v>
                </c:pt>
              </c:strCache>
            </c:strRef>
          </c:cat>
          <c:val>
            <c:numRef>
              <c:f>'P12'!$C$58:$G$58</c:f>
              <c:numCache>
                <c:formatCode>General</c:formatCode>
                <c:ptCount val="5"/>
                <c:pt idx="0">
                  <c:v>153.80000000000001</c:v>
                </c:pt>
                <c:pt idx="1">
                  <c:v>152.47999999999999</c:v>
                </c:pt>
                <c:pt idx="2">
                  <c:v>137.38999999999999</c:v>
                </c:pt>
                <c:pt idx="3">
                  <c:v>86.95</c:v>
                </c:pt>
                <c:pt idx="4">
                  <c:v>74.959999999999994</c:v>
                </c:pt>
              </c:numCache>
            </c:numRef>
          </c:val>
        </c:ser>
        <c:dLbls>
          <c:dLblPos val="outEnd"/>
          <c:showLegendKey val="0"/>
          <c:showVal val="1"/>
          <c:showCatName val="0"/>
          <c:showSerName val="0"/>
          <c:showPercent val="0"/>
          <c:showBubbleSize val="0"/>
        </c:dLbls>
        <c:gapWidth val="100"/>
        <c:axId val="608514808"/>
        <c:axId val="608521472"/>
      </c:barChart>
      <c:valAx>
        <c:axId val="608521472"/>
        <c:scaling>
          <c:orientation val="minMax"/>
        </c:scaling>
        <c:delete val="1"/>
        <c:axPos val="b"/>
        <c:numFmt formatCode="General" sourceLinked="1"/>
        <c:majorTickMark val="out"/>
        <c:minorTickMark val="none"/>
        <c:tickLblPos val="nextTo"/>
        <c:crossAx val="608514808"/>
        <c:crosses val="autoZero"/>
        <c:crossBetween val="between"/>
      </c:valAx>
      <c:catAx>
        <c:axId val="608514808"/>
        <c:scaling>
          <c:orientation val="minMax"/>
        </c:scaling>
        <c:delete val="0"/>
        <c:axPos val="l"/>
        <c:numFmt formatCode="General" sourceLinked="0"/>
        <c:majorTickMark val="out"/>
        <c:minorTickMark val="none"/>
        <c:tickLblPos val="nextTo"/>
        <c:crossAx val="608521472"/>
        <c:crosses val="autoZero"/>
        <c:auto val="1"/>
        <c:lblAlgn val="ctr"/>
        <c:lblOffset val="100"/>
        <c:noMultiLvlLbl val="0"/>
      </c:catAx>
    </c:plotArea>
    <c:plotVisOnly val="1"/>
    <c:dispBlanksAs val="zero"/>
    <c:showDLblsOverMax val="0"/>
  </c:chart>
  <c:txPr>
    <a:bodyPr/>
    <a:lstStyle/>
    <a:p>
      <a:pPr>
        <a:defRPr sz="1000"/>
      </a:pPr>
      <a:endParaRPr lang="it-I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13"/>
            <c:invertIfNegative val="0"/>
            <c:bubble3D val="0"/>
            <c:spPr>
              <a:solidFill>
                <a:srgbClr val="C0000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'P22'!$A$65:$A$78</c:f>
              <c:strCache>
                <c:ptCount val="14"/>
                <c:pt idx="0">
                  <c:v>Veneto</c:v>
                </c:pt>
                <c:pt idx="1">
                  <c:v>Puglia</c:v>
                </c:pt>
                <c:pt idx="2">
                  <c:v>Friuli - Venezia Giulia</c:v>
                </c:pt>
                <c:pt idx="3">
                  <c:v>Lombardia</c:v>
                </c:pt>
                <c:pt idx="4">
                  <c:v>Emilia Romagna</c:v>
                </c:pt>
                <c:pt idx="5">
                  <c:v>Calabria</c:v>
                </c:pt>
                <c:pt idx="6">
                  <c:v>Lazio</c:v>
                </c:pt>
                <c:pt idx="7">
                  <c:v>Toscana</c:v>
                </c:pt>
                <c:pt idx="8">
                  <c:v>Marche</c:v>
                </c:pt>
                <c:pt idx="9">
                  <c:v>Liguria</c:v>
                </c:pt>
                <c:pt idx="10">
                  <c:v>Umbria</c:v>
                </c:pt>
                <c:pt idx="11">
                  <c:v>Piemonte</c:v>
                </c:pt>
                <c:pt idx="12">
                  <c:v>Campania</c:v>
                </c:pt>
                <c:pt idx="13">
                  <c:v>Totale</c:v>
                </c:pt>
              </c:strCache>
            </c:strRef>
          </c:cat>
          <c:val>
            <c:numRef>
              <c:f>'P22'!$B$65:$B$78</c:f>
              <c:numCache>
                <c:formatCode>0.0%</c:formatCode>
                <c:ptCount val="14"/>
                <c:pt idx="0">
                  <c:v>-8.988785312071168E-2</c:v>
                </c:pt>
                <c:pt idx="1">
                  <c:v>-8.0006532170941891E-2</c:v>
                </c:pt>
                <c:pt idx="2">
                  <c:v>-7.298552963312023E-2</c:v>
                </c:pt>
                <c:pt idx="3">
                  <c:v>3.3222060029427333E-2</c:v>
                </c:pt>
                <c:pt idx="4">
                  <c:v>3.4809734614767072E-2</c:v>
                </c:pt>
                <c:pt idx="5">
                  <c:v>4.5249854062618722E-2</c:v>
                </c:pt>
                <c:pt idx="6">
                  <c:v>6.834543726847557E-2</c:v>
                </c:pt>
                <c:pt idx="7">
                  <c:v>7.2999999999999995E-2</c:v>
                </c:pt>
                <c:pt idx="8">
                  <c:v>0.18824355170725665</c:v>
                </c:pt>
                <c:pt idx="9">
                  <c:v>0.23877857357292961</c:v>
                </c:pt>
                <c:pt idx="10">
                  <c:v>0.29828859060402685</c:v>
                </c:pt>
                <c:pt idx="11">
                  <c:v>0.33339614850615357</c:v>
                </c:pt>
                <c:pt idx="12">
                  <c:v>0.36612064295352148</c:v>
                </c:pt>
                <c:pt idx="13">
                  <c:v>0.1482827242740283</c:v>
                </c:pt>
              </c:numCache>
            </c:numRef>
          </c:val>
        </c:ser>
        <c:dLbls>
          <c:dLblPos val="outEnd"/>
          <c:showLegendKey val="0"/>
          <c:showVal val="1"/>
          <c:showCatName val="0"/>
          <c:showSerName val="0"/>
          <c:showPercent val="0"/>
          <c:showBubbleSize val="0"/>
        </c:dLbls>
        <c:gapWidth val="182"/>
        <c:axId val="608516376"/>
        <c:axId val="196501048"/>
      </c:barChart>
      <c:catAx>
        <c:axId val="608516376"/>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96501048"/>
        <c:crosses val="autoZero"/>
        <c:auto val="1"/>
        <c:lblAlgn val="ctr"/>
        <c:lblOffset val="100"/>
        <c:noMultiLvlLbl val="0"/>
      </c:catAx>
      <c:valAx>
        <c:axId val="196501048"/>
        <c:scaling>
          <c:orientation val="minMax"/>
        </c:scaling>
        <c:delete val="1"/>
        <c:axPos val="b"/>
        <c:numFmt formatCode="0.0%" sourceLinked="1"/>
        <c:majorTickMark val="none"/>
        <c:minorTickMark val="none"/>
        <c:tickLblPos val="nextTo"/>
        <c:crossAx val="608516376"/>
        <c:crosses val="autoZero"/>
        <c:crossBetween val="between"/>
      </c:valAx>
      <c:spPr>
        <a:noFill/>
        <a:ln>
          <a:noFill/>
        </a:ln>
        <a:effectLst/>
      </c:spPr>
    </c:plotArea>
    <c:plotVisOnly val="1"/>
    <c:dispBlanksAs val="gap"/>
    <c:showDLblsOverMax val="0"/>
  </c:chart>
  <c:spPr>
    <a:solidFill>
      <a:sysClr val="window" lastClr="FFFFFF"/>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'P30'!$T$95</c:f>
              <c:strCache>
                <c:ptCount val="1"/>
                <c:pt idx="0">
                  <c:v>2018</c:v>
                </c:pt>
              </c:strCache>
            </c:strRef>
          </c:tx>
          <c:spPr>
            <a:solidFill>
              <a:srgbClr val="445364"/>
            </a:solidFill>
            <a:ln>
              <a:noFill/>
            </a:ln>
            <a:effectLst/>
          </c:spPr>
          <c:invertIfNegative val="0"/>
          <c:dPt>
            <c:idx val="1"/>
            <c:invertIfNegative val="0"/>
            <c:bubble3D val="0"/>
            <c:spPr>
              <a:solidFill>
                <a:schemeClr val="tx2">
                  <a:lumMod val="75000"/>
                </a:schemeClr>
              </a:solidFill>
              <a:ln>
                <a:noFill/>
              </a:ln>
              <a:effectLst/>
            </c:spPr>
          </c:dPt>
          <c:dPt>
            <c:idx val="4"/>
            <c:invertIfNegative val="0"/>
            <c:bubble3D val="0"/>
            <c:spPr>
              <a:solidFill>
                <a:srgbClr val="C0000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'P30'!$S$96:$S$115</c:f>
              <c:strCache>
                <c:ptCount val="20"/>
                <c:pt idx="0">
                  <c:v>LAZIO</c:v>
                </c:pt>
                <c:pt idx="1">
                  <c:v>LOMBARDIA</c:v>
                </c:pt>
                <c:pt idx="2">
                  <c:v>VENETO</c:v>
                </c:pt>
                <c:pt idx="3">
                  <c:v>TOSCANA</c:v>
                </c:pt>
                <c:pt idx="4">
                  <c:v>CAMPANIA</c:v>
                </c:pt>
                <c:pt idx="5">
                  <c:v>LIGURIA</c:v>
                </c:pt>
                <c:pt idx="6">
                  <c:v>EMILIA ROMAGNA</c:v>
                </c:pt>
                <c:pt idx="7">
                  <c:v>SICILIA</c:v>
                </c:pt>
                <c:pt idx="8">
                  <c:v>TRENTINO ALTO ADIGE</c:v>
                </c:pt>
                <c:pt idx="9">
                  <c:v>PIEMONTE</c:v>
                </c:pt>
                <c:pt idx="10">
                  <c:v>FRIULI VENEZIA GIULIA</c:v>
                </c:pt>
                <c:pt idx="11">
                  <c:v>SARDEGNA</c:v>
                </c:pt>
                <c:pt idx="12">
                  <c:v>PUGLIA</c:v>
                </c:pt>
                <c:pt idx="13">
                  <c:v>VALLE D'AOSTA</c:v>
                </c:pt>
                <c:pt idx="14">
                  <c:v>MARCHE</c:v>
                </c:pt>
                <c:pt idx="15">
                  <c:v>CALABRIA</c:v>
                </c:pt>
                <c:pt idx="16">
                  <c:v>UMBRIA</c:v>
                </c:pt>
                <c:pt idx="17">
                  <c:v>ABRUZZO</c:v>
                </c:pt>
                <c:pt idx="18">
                  <c:v>BASILICATA</c:v>
                </c:pt>
                <c:pt idx="19">
                  <c:v>MOLISE</c:v>
                </c:pt>
              </c:strCache>
            </c:strRef>
          </c:cat>
          <c:val>
            <c:numRef>
              <c:f>'P30'!$T$96:$T$115</c:f>
              <c:numCache>
                <c:formatCode>#,##0</c:formatCode>
                <c:ptCount val="20"/>
                <c:pt idx="0">
                  <c:v>7395.6334853298385</c:v>
                </c:pt>
                <c:pt idx="1">
                  <c:v>6736.7727934151953</c:v>
                </c:pt>
                <c:pt idx="2">
                  <c:v>6135.5725550851466</c:v>
                </c:pt>
                <c:pt idx="3">
                  <c:v>4521.2552561027269</c:v>
                </c:pt>
                <c:pt idx="4">
                  <c:v>2307.3574787051725</c:v>
                </c:pt>
                <c:pt idx="5">
                  <c:v>2291.940710277257</c:v>
                </c:pt>
                <c:pt idx="6">
                  <c:v>1979.8369998988032</c:v>
                </c:pt>
                <c:pt idx="7">
                  <c:v>1947.2313880392248</c:v>
                </c:pt>
                <c:pt idx="8">
                  <c:v>1778.274711173972</c:v>
                </c:pt>
                <c:pt idx="9">
                  <c:v>1723.1043838032037</c:v>
                </c:pt>
                <c:pt idx="10">
                  <c:v>1354.5209707718097</c:v>
                </c:pt>
                <c:pt idx="11">
                  <c:v>977.37083793359795</c:v>
                </c:pt>
                <c:pt idx="12">
                  <c:v>624.43905046605573</c:v>
                </c:pt>
                <c:pt idx="13">
                  <c:v>359.99908900329808</c:v>
                </c:pt>
                <c:pt idx="14">
                  <c:v>240.65699763955658</c:v>
                </c:pt>
                <c:pt idx="15">
                  <c:v>192.72547116177685</c:v>
                </c:pt>
                <c:pt idx="16">
                  <c:v>180.72795720137239</c:v>
                </c:pt>
                <c:pt idx="17">
                  <c:v>164.88021499370359</c:v>
                </c:pt>
                <c:pt idx="18">
                  <c:v>32.799357278145685</c:v>
                </c:pt>
                <c:pt idx="19">
                  <c:v>13.733518681559479</c:v>
                </c:pt>
              </c:numCache>
            </c:numRef>
          </c:val>
        </c:ser>
        <c:dLbls>
          <c:dLblPos val="outEnd"/>
          <c:showLegendKey val="0"/>
          <c:showVal val="1"/>
          <c:showCatName val="0"/>
          <c:showSerName val="0"/>
          <c:showPercent val="0"/>
          <c:showBubbleSize val="0"/>
        </c:dLbls>
        <c:gapWidth val="219"/>
        <c:overlap val="-27"/>
        <c:axId val="196499872"/>
        <c:axId val="196503792"/>
      </c:barChart>
      <c:catAx>
        <c:axId val="196499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96503792"/>
        <c:crosses val="autoZero"/>
        <c:auto val="1"/>
        <c:lblAlgn val="ctr"/>
        <c:lblOffset val="100"/>
        <c:noMultiLvlLbl val="0"/>
      </c:catAx>
      <c:valAx>
        <c:axId val="196503792"/>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96499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1660293949235441"/>
          <c:y val="4.1666803558486426E-2"/>
          <c:w val="0.83540065106074934"/>
          <c:h val="0.84978477690288712"/>
        </c:manualLayout>
      </c:layout>
      <c:barChart>
        <c:barDir val="bar"/>
        <c:grouping val="clustered"/>
        <c:varyColors val="0"/>
        <c:ser>
          <c:idx val="0"/>
          <c:order val="0"/>
          <c:tx>
            <c:strRef>
              <c:f>P.5!$B$36</c:f>
              <c:strCache>
                <c:ptCount val="1"/>
                <c:pt idx="0">
                  <c:v>spc</c:v>
                </c:pt>
              </c:strCache>
            </c:strRef>
          </c:tx>
          <c:invertIfNegative val="0"/>
          <c:dPt>
            <c:idx val="7"/>
            <c:invertIfNegative val="0"/>
            <c:bubble3D val="0"/>
            <c:spPr>
              <a:solidFill>
                <a:schemeClr val="tx2">
                  <a:lumMod val="75000"/>
                </a:schemeClr>
              </a:solidFill>
              <a:ln>
                <a:solidFill>
                  <a:schemeClr val="tx2">
                    <a:lumMod val="75000"/>
                  </a:schemeClr>
                </a:solidFill>
              </a:ln>
            </c:spPr>
          </c:dPt>
          <c:dPt>
            <c:idx val="12"/>
            <c:invertIfNegative val="0"/>
            <c:bubble3D val="0"/>
            <c:spPr>
              <a:solidFill>
                <a:schemeClr val="accent2"/>
              </a:solidFill>
              <a:ln>
                <a:solidFill>
                  <a:schemeClr val="accent2"/>
                </a:solidFill>
              </a:ln>
            </c:spPr>
          </c:dPt>
          <c:dLbls>
            <c:dLbl>
              <c:idx val="7"/>
              <c:spPr>
                <a:noFill/>
                <a:ln>
                  <a:noFill/>
                </a:ln>
                <a:effectLst/>
              </c:spPr>
              <c:txPr>
                <a:bodyPr wrap="square" lIns="38100" tIns="19050" rIns="38100" bIns="19050" anchor="ctr">
                  <a:spAutoFit/>
                </a:bodyPr>
                <a:lstStyle/>
                <a:p>
                  <a:pPr>
                    <a:defRPr b="1"/>
                  </a:pPr>
                  <a:endParaRPr lang="it-IT"/>
                </a:p>
              </c:txPr>
              <c:dLblPos val="outEnd"/>
              <c:showLegendKey val="0"/>
              <c:showVal val="1"/>
              <c:showCatName val="0"/>
              <c:showSerName val="0"/>
              <c:showPercent val="0"/>
              <c:showBubbleSize val="0"/>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P.5!$A$37:$A$51</c:f>
              <c:strCache>
                <c:ptCount val="15"/>
                <c:pt idx="0">
                  <c:v>Messina</c:v>
                </c:pt>
                <c:pt idx="1">
                  <c:v>Bari</c:v>
                </c:pt>
                <c:pt idx="2">
                  <c:v>Catania</c:v>
                </c:pt>
                <c:pt idx="3">
                  <c:v>Palermo</c:v>
                </c:pt>
                <c:pt idx="4">
                  <c:v>Roma</c:v>
                </c:pt>
                <c:pt idx="5">
                  <c:v>Genova</c:v>
                </c:pt>
                <c:pt idx="6">
                  <c:v>Torino</c:v>
                </c:pt>
                <c:pt idx="7">
                  <c:v>Napoli</c:v>
                </c:pt>
                <c:pt idx="8">
                  <c:v>Padova</c:v>
                </c:pt>
                <c:pt idx="9">
                  <c:v>Verona</c:v>
                </c:pt>
                <c:pt idx="10">
                  <c:v>Venezia</c:v>
                </c:pt>
                <c:pt idx="11">
                  <c:v>Bologna</c:v>
                </c:pt>
                <c:pt idx="12">
                  <c:v>Milano</c:v>
                </c:pt>
                <c:pt idx="13">
                  <c:v>Trieste</c:v>
                </c:pt>
                <c:pt idx="14">
                  <c:v>Firenze</c:v>
                </c:pt>
              </c:strCache>
            </c:strRef>
          </c:cat>
          <c:val>
            <c:numRef>
              <c:f>P.5!$B$37:$B$51</c:f>
              <c:numCache>
                <c:formatCode>General</c:formatCode>
                <c:ptCount val="15"/>
                <c:pt idx="0">
                  <c:v>14.01</c:v>
                </c:pt>
                <c:pt idx="1">
                  <c:v>19.89</c:v>
                </c:pt>
                <c:pt idx="2">
                  <c:v>23.77</c:v>
                </c:pt>
                <c:pt idx="3">
                  <c:v>24.77</c:v>
                </c:pt>
                <c:pt idx="4" formatCode="0.00">
                  <c:v>48.42</c:v>
                </c:pt>
                <c:pt idx="5">
                  <c:v>48.89</c:v>
                </c:pt>
                <c:pt idx="6">
                  <c:v>50.98</c:v>
                </c:pt>
                <c:pt idx="7">
                  <c:v>60.65</c:v>
                </c:pt>
                <c:pt idx="8">
                  <c:v>70.61</c:v>
                </c:pt>
                <c:pt idx="9">
                  <c:v>71.17</c:v>
                </c:pt>
                <c:pt idx="10">
                  <c:v>78.06</c:v>
                </c:pt>
                <c:pt idx="11">
                  <c:v>78.17</c:v>
                </c:pt>
                <c:pt idx="12">
                  <c:v>82.59</c:v>
                </c:pt>
                <c:pt idx="13">
                  <c:v>97.23</c:v>
                </c:pt>
                <c:pt idx="14">
                  <c:v>113.37</c:v>
                </c:pt>
              </c:numCache>
            </c:numRef>
          </c:val>
        </c:ser>
        <c:dLbls>
          <c:dLblPos val="outEnd"/>
          <c:showLegendKey val="0"/>
          <c:showVal val="1"/>
          <c:showCatName val="0"/>
          <c:showSerName val="0"/>
          <c:showPercent val="0"/>
          <c:showBubbleSize val="0"/>
        </c:dLbls>
        <c:gapWidth val="182"/>
        <c:axId val="634362416"/>
        <c:axId val="634361240"/>
      </c:barChart>
      <c:catAx>
        <c:axId val="634362416"/>
        <c:scaling>
          <c:orientation val="minMax"/>
        </c:scaling>
        <c:delete val="0"/>
        <c:axPos val="l"/>
        <c:numFmt formatCode="General" sourceLinked="1"/>
        <c:majorTickMark val="none"/>
        <c:minorTickMark val="none"/>
        <c:tickLblPos val="nextTo"/>
        <c:txPr>
          <a:bodyPr rot="-60000000" vert="horz"/>
          <a:lstStyle/>
          <a:p>
            <a:pPr>
              <a:defRPr/>
            </a:pPr>
            <a:endParaRPr lang="it-IT"/>
          </a:p>
        </c:txPr>
        <c:crossAx val="634361240"/>
        <c:crosses val="autoZero"/>
        <c:auto val="1"/>
        <c:lblAlgn val="ctr"/>
        <c:lblOffset val="100"/>
        <c:noMultiLvlLbl val="0"/>
      </c:catAx>
      <c:valAx>
        <c:axId val="634361240"/>
        <c:scaling>
          <c:orientation val="minMax"/>
          <c:max val="120"/>
          <c:min val="0"/>
        </c:scaling>
        <c:delete val="0"/>
        <c:axPos val="b"/>
        <c:majorGridlines/>
        <c:numFmt formatCode="General" sourceLinked="1"/>
        <c:majorTickMark val="none"/>
        <c:minorTickMark val="none"/>
        <c:tickLblPos val="nextTo"/>
        <c:txPr>
          <a:bodyPr rot="-60000000" vert="horz"/>
          <a:lstStyle/>
          <a:p>
            <a:pPr>
              <a:defRPr/>
            </a:pPr>
            <a:endParaRPr lang="it-IT"/>
          </a:p>
        </c:txPr>
        <c:crossAx val="634362416"/>
        <c:crosses val="autoZero"/>
        <c:crossBetween val="between"/>
        <c:majorUnit val="20"/>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explosion val="3"/>
            <c:spPr>
              <a:solidFill>
                <a:srgbClr val="B71B54"/>
              </a:solidFill>
              <a:ln w="19050">
                <a:solidFill>
                  <a:schemeClr val="lt1"/>
                </a:solidFill>
              </a:ln>
              <a:effectLst/>
            </c:spPr>
          </c:dPt>
          <c:dPt>
            <c:idx val="1"/>
            <c:bubble3D val="0"/>
            <c:spPr>
              <a:solidFill>
                <a:srgbClr val="445364"/>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P.7!$M$17:$O$17</c:f>
              <c:strCache>
                <c:ptCount val="3"/>
                <c:pt idx="0">
                  <c:v>Nord</c:v>
                </c:pt>
                <c:pt idx="1">
                  <c:v>Centro</c:v>
                </c:pt>
                <c:pt idx="2">
                  <c:v>Sud-Isole</c:v>
                </c:pt>
              </c:strCache>
            </c:strRef>
          </c:cat>
          <c:val>
            <c:numRef>
              <c:f>P.7!$M$26:$O$26</c:f>
              <c:numCache>
                <c:formatCode>#,##0</c:formatCode>
                <c:ptCount val="3"/>
                <c:pt idx="0">
                  <c:v>316297124</c:v>
                </c:pt>
                <c:pt idx="1">
                  <c:v>65444689</c:v>
                </c:pt>
                <c:pt idx="2">
                  <c:v>8579501</c:v>
                </c:pt>
              </c:numCache>
            </c:numRef>
          </c:val>
        </c:ser>
        <c:dLbls>
          <c:dLblPos val="bestFit"/>
          <c:showLegendKey val="0"/>
          <c:showVal val="1"/>
          <c:showCatName val="0"/>
          <c:showSerName val="0"/>
          <c:showPercent val="0"/>
          <c:showBubbleSize val="0"/>
          <c:showLeaderLines val="0"/>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89FDB-942E-4F72-8AF2-04085F356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9</Pages>
  <Words>2744</Words>
  <Characters>15644</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Camaleonte</dc:creator>
  <cp:keywords/>
  <dc:description/>
  <cp:lastModifiedBy>Flavia Camaleonte</cp:lastModifiedBy>
  <cp:revision>7</cp:revision>
  <cp:lastPrinted>2019-11-21T15:16:00Z</cp:lastPrinted>
  <dcterms:created xsi:type="dcterms:W3CDTF">2020-01-27T10:25:00Z</dcterms:created>
  <dcterms:modified xsi:type="dcterms:W3CDTF">2020-01-28T13:36:00Z</dcterms:modified>
</cp:coreProperties>
</file>