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466" w:rsidRDefault="007B0466" w:rsidP="007B0466">
      <w:pPr>
        <w:widowControl w:val="0"/>
        <w:ind w:right="89"/>
        <w:jc w:val="center"/>
        <w:rPr>
          <w:rFonts w:ascii="Calibri" w:eastAsia="Arial" w:hAnsi="Calibri" w:cs="Calibri"/>
          <w:b/>
          <w:color w:val="000000"/>
          <w:sz w:val="20"/>
        </w:rPr>
      </w:pPr>
      <w:bookmarkStart w:id="0" w:name="_GoBack"/>
      <w:r>
        <w:rPr>
          <w:rFonts w:ascii="Calibri" w:eastAsia="Arial" w:hAnsi="Calibri" w:cs="Calibri"/>
          <w:b/>
          <w:color w:val="000000"/>
          <w:sz w:val="20"/>
        </w:rPr>
        <w:t>Gruppo Almaviva</w:t>
      </w:r>
    </w:p>
    <w:bookmarkEnd w:id="0"/>
    <w:p w:rsidR="007B0466" w:rsidRDefault="007B0466" w:rsidP="007B0466">
      <w:pPr>
        <w:widowControl w:val="0"/>
        <w:ind w:right="89"/>
        <w:jc w:val="both"/>
        <w:rPr>
          <w:rFonts w:ascii="Calibri" w:eastAsia="Arial" w:hAnsi="Calibri" w:cs="Calibri"/>
          <w:b/>
          <w:color w:val="000000"/>
          <w:sz w:val="20"/>
        </w:rPr>
      </w:pPr>
    </w:p>
    <w:p w:rsidR="007B0466" w:rsidRDefault="007B0466" w:rsidP="007B0466">
      <w:pPr>
        <w:widowControl w:val="0"/>
        <w:ind w:right="89"/>
        <w:jc w:val="both"/>
        <w:rPr>
          <w:rFonts w:ascii="Calibri" w:eastAsia="Arial" w:hAnsi="Calibri" w:cs="Calibri"/>
          <w:color w:val="000000"/>
          <w:sz w:val="20"/>
        </w:rPr>
      </w:pPr>
      <w:r>
        <w:rPr>
          <w:rFonts w:ascii="Calibri" w:eastAsia="Arial" w:hAnsi="Calibri" w:cs="Calibri"/>
          <w:color w:val="000000"/>
          <w:sz w:val="20"/>
        </w:rPr>
        <w:t>Almaviva, Gruppo leader italiano nell’Information &amp; Communication Technology, sinonimo di innovazione digitale, accompagna i processi di crescita del Paese raccogliendo la sfida che le realtà enterprise devono affrontare per rimanere competitive nell’epoca del Digitale Assoluto, innovando il proprio modello di business, la propria organizzazione, la cultura aziendale e l’ICT. A partire da solide competenze Made in Italy, Almaviva ha dato vita ad un network globale con 45.000 persone, 10.000 in Italia e 35.000 all’estero, e 887 milioni di euro di fatturato nel 2019. Opera attraverso 42 sedi in Italia e 23 all’estero, con un’importante presenza in Brasile, oltre che negli Stati Uniti, Cina, Colombia, Tunisia, Romania e a Bruxelles, centro nevralgico della UE.</w:t>
      </w:r>
    </w:p>
    <w:p w:rsidR="009A355A" w:rsidRDefault="009A355A"/>
    <w:sectPr w:rsidR="009A3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66"/>
    <w:rsid w:val="007B0466"/>
    <w:rsid w:val="009A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B81"/>
  <w15:chartTrackingRefBased/>
  <w15:docId w15:val="{4E9F802D-7396-46CD-B920-2D6D20C3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0466"/>
    <w:pPr>
      <w:spacing w:after="0" w:line="240" w:lineRule="auto"/>
    </w:pPr>
    <w:rPr>
      <w:rFonts w:ascii="Times" w:eastAsia="Times" w:hAnsi="Times" w:cs="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7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dc:creator>
  <cp:keywords/>
  <dc:description/>
  <cp:lastModifiedBy>Tonia</cp:lastModifiedBy>
  <cp:revision>1</cp:revision>
  <dcterms:created xsi:type="dcterms:W3CDTF">2021-03-31T14:47:00Z</dcterms:created>
  <dcterms:modified xsi:type="dcterms:W3CDTF">2021-03-31T14:47:00Z</dcterms:modified>
</cp:coreProperties>
</file>