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F8" w:rsidRDefault="00B01BF8" w:rsidP="00B01BF8">
      <w:pPr>
        <w:pStyle w:val="NormaleWeb"/>
        <w:shd w:val="clear" w:color="auto" w:fill="FFFFFF"/>
        <w:spacing w:before="0" w:beforeAutospacing="0" w:after="0" w:afterAutospacing="0"/>
        <w:rPr>
          <w:rFonts w:ascii="Garamond" w:hAnsi="Garamond"/>
          <w:sz w:val="16"/>
          <w:szCs w:val="16"/>
        </w:rPr>
      </w:pP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  <w:u w:val="single"/>
        </w:rPr>
        <w:t>Valore economico distribuito: 9,6 miliardi di euro</w:t>
      </w:r>
      <w:r>
        <w:rPr>
          <w:rFonts w:ascii="Futura Md BT" w:hAnsi="Futura Md BT"/>
          <w:b/>
          <w:bCs/>
          <w:sz w:val="24"/>
          <w:szCs w:val="24"/>
        </w:rPr>
        <w:t>, pari all’88% del valore generato (+7 punti % rispetto al 2019)</w:t>
      </w: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Futura Md BT" w:hAnsi="Futura Md BT"/>
          <w:b/>
          <w:bCs/>
          <w:sz w:val="24"/>
          <w:szCs w:val="24"/>
          <w:u w:val="single"/>
        </w:rPr>
      </w:pPr>
      <w:r>
        <w:rPr>
          <w:rFonts w:ascii="Futura Md BT" w:hAnsi="Futura Md BT"/>
          <w:b/>
          <w:bCs/>
          <w:sz w:val="24"/>
          <w:szCs w:val="24"/>
          <w:u w:val="single"/>
        </w:rPr>
        <w:t>Apporto su PIL italiano 2,4% e impatto occupazionale equivalente pari a 260 mila unità</w:t>
      </w: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Futura Md BT" w:hAnsi="Futura Md BT"/>
          <w:b/>
          <w:bCs/>
          <w:sz w:val="24"/>
          <w:szCs w:val="24"/>
          <w:u w:val="single"/>
        </w:rPr>
      </w:pPr>
      <w:r>
        <w:rPr>
          <w:rFonts w:ascii="Futura Md BT" w:hAnsi="Futura Md BT"/>
          <w:b/>
          <w:bCs/>
          <w:sz w:val="24"/>
          <w:szCs w:val="24"/>
        </w:rPr>
        <w:t>il Gruppo FS si conferma primo gruppo industriale per investimenti tecnici in Italia</w:t>
      </w:r>
      <w:r>
        <w:rPr>
          <w:rFonts w:ascii="Futura Md BT" w:hAnsi="Futura Md BT"/>
          <w:b/>
          <w:bCs/>
          <w:sz w:val="24"/>
          <w:szCs w:val="24"/>
          <w:u w:val="single"/>
        </w:rPr>
        <w:t>: nel 2020 circa 9 miliardi di euro (+5% sul 2019), di cui il 98% sul territorio nazionale e oltre 7 miliardi di euro in infrastrutture ferroviarie e autostradali, sostenendo le filiere produttive del Paese attraverso anticipazioni finanziarie per circa 1 miliardo di euro (nel 2019 erano stati 381 milioni di euro)</w:t>
      </w: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Futura Md BT" w:hAnsi="Futura Md BT"/>
          <w:b/>
          <w:bCs/>
          <w:sz w:val="24"/>
          <w:szCs w:val="24"/>
          <w:u w:val="single"/>
        </w:rPr>
      </w:pPr>
      <w:r>
        <w:rPr>
          <w:rFonts w:ascii="Futura Md BT" w:hAnsi="Futura Md BT"/>
          <w:b/>
          <w:bCs/>
          <w:sz w:val="24"/>
          <w:szCs w:val="24"/>
        </w:rPr>
        <w:t xml:space="preserve">Ricavi operativi pari a 10,8 miliardi di euro, -1,6 miliardi di euro circa (-12,8%) vs 2019, </w:t>
      </w:r>
      <w:r>
        <w:rPr>
          <w:rFonts w:ascii="Futura Md BT" w:hAnsi="Futura Md BT"/>
          <w:b/>
          <w:bCs/>
          <w:sz w:val="24"/>
          <w:szCs w:val="24"/>
          <w:u w:val="single"/>
        </w:rPr>
        <w:t>ma a fronte di -1,7 miliardi di euro circa di impatto negativo dovuto al COVID-19</w:t>
      </w: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EBITDA a +1,6 miliardi di euro (-37,4% vs 2019, pari a 2,6 miliardi di euro), </w:t>
      </w:r>
      <w:r>
        <w:rPr>
          <w:rFonts w:ascii="Futura Md BT" w:hAnsi="Futura Md BT"/>
          <w:b/>
          <w:bCs/>
          <w:sz w:val="24"/>
          <w:szCs w:val="24"/>
          <w:u w:val="single"/>
        </w:rPr>
        <w:t>ma dovendo tenere conto di un impatto negativo da COVID-19 superiore a 1 miliardo di euro</w:t>
      </w:r>
    </w:p>
    <w:p w:rsidR="00B01BF8" w:rsidRDefault="00B01BF8" w:rsidP="00B01BF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EBIT: -278 milioni di euro, a fronte di + 829 milioni di euro nel 2019 (-133,5%), </w:t>
      </w:r>
      <w:r>
        <w:rPr>
          <w:rFonts w:ascii="Futura Md BT" w:hAnsi="Futura Md BT"/>
          <w:b/>
          <w:bCs/>
          <w:sz w:val="24"/>
          <w:szCs w:val="24"/>
          <w:u w:val="single"/>
        </w:rPr>
        <w:t>ma a fronte di un impatto negativo da COVID-19 di circa 1 miliardo di euro</w:t>
      </w:r>
    </w:p>
    <w:p w:rsidR="00B01BF8" w:rsidRDefault="00B01BF8" w:rsidP="00B01BF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hAnsi="Garamond"/>
          <w:u w:val="single"/>
        </w:rPr>
      </w:pPr>
      <w:r>
        <w:rPr>
          <w:rFonts w:ascii="Futura Md BT" w:hAnsi="Futura Md BT"/>
          <w:b/>
          <w:bCs/>
          <w:sz w:val="24"/>
          <w:szCs w:val="24"/>
          <w:u w:val="single"/>
        </w:rPr>
        <w:t>Nonostante gli effetti negativi del COVID-19 di 1 miliardo di euro circa e grazie all’ottimizzazione dei processi industriali, la perdita è stata contenuta in 562 milioni di euro</w:t>
      </w:r>
    </w:p>
    <w:p w:rsidR="00B01BF8" w:rsidRDefault="00B01BF8" w:rsidP="00B01BF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hAnsi="Garamond"/>
        </w:rPr>
      </w:pPr>
      <w:r>
        <w:rPr>
          <w:rFonts w:ascii="Futura Md BT" w:hAnsi="Futura Md BT"/>
          <w:b/>
          <w:bCs/>
          <w:sz w:val="24"/>
          <w:szCs w:val="24"/>
          <w:u w:val="single"/>
        </w:rPr>
        <w:t>Confermata la solidità patrimoniale del Gruppo</w:t>
      </w:r>
      <w:r>
        <w:rPr>
          <w:rFonts w:ascii="Futura Md BT" w:hAnsi="Futura Md BT"/>
          <w:b/>
          <w:bCs/>
          <w:sz w:val="24"/>
          <w:szCs w:val="24"/>
        </w:rPr>
        <w:t>, che si attesta a 41,4 miliardi di euro di Mezzi propri</w:t>
      </w:r>
    </w:p>
    <w:p w:rsidR="00B01BF8" w:rsidRDefault="00B01BF8" w:rsidP="00B01BF8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Garamond" w:hAnsi="Garamond"/>
        </w:rPr>
      </w:pPr>
      <w:r>
        <w:rPr>
          <w:rFonts w:ascii="Futura Md BT" w:hAnsi="Futura Md BT"/>
          <w:b/>
          <w:bCs/>
          <w:sz w:val="24"/>
          <w:szCs w:val="24"/>
        </w:rPr>
        <w:t xml:space="preserve">Confermato nel 2020 il </w:t>
      </w:r>
      <w:r>
        <w:rPr>
          <w:rFonts w:ascii="Futura Md BT" w:hAnsi="Futura Md BT"/>
          <w:b/>
          <w:bCs/>
          <w:sz w:val="24"/>
          <w:szCs w:val="24"/>
          <w:u w:val="single"/>
        </w:rPr>
        <w:t>concreto e costante impegno per lo Sviluppo Sostenibile</w:t>
      </w:r>
      <w:r>
        <w:rPr>
          <w:rFonts w:ascii="Futura Md BT" w:hAnsi="Futura Md BT"/>
          <w:b/>
          <w:bCs/>
          <w:sz w:val="24"/>
          <w:szCs w:val="24"/>
        </w:rPr>
        <w:t>:</w:t>
      </w:r>
    </w:p>
    <w:p w:rsidR="00B01BF8" w:rsidRDefault="00B01BF8" w:rsidP="00B01BF8">
      <w:pPr>
        <w:pStyle w:val="Paragrafoelenco"/>
        <w:numPr>
          <w:ilvl w:val="0"/>
          <w:numId w:val="2"/>
        </w:numPr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prosegue il </w:t>
      </w:r>
      <w:r>
        <w:rPr>
          <w:rFonts w:ascii="Futura Md BT" w:hAnsi="Futura Md BT"/>
          <w:b/>
          <w:bCs/>
          <w:i/>
          <w:iCs/>
          <w:sz w:val="24"/>
          <w:szCs w:val="24"/>
        </w:rPr>
        <w:t>trend</w:t>
      </w:r>
      <w:r>
        <w:rPr>
          <w:rFonts w:ascii="Futura Md BT" w:hAnsi="Futura Md BT"/>
          <w:b/>
          <w:bCs/>
          <w:sz w:val="24"/>
          <w:szCs w:val="24"/>
        </w:rPr>
        <w:t xml:space="preserve"> di riduzione delle emissioni di gas a effetto serra in atmosfera</w:t>
      </w:r>
    </w:p>
    <w:p w:rsidR="00B01BF8" w:rsidRDefault="00B01BF8" w:rsidP="00B01BF8">
      <w:pPr>
        <w:pStyle w:val="Paragrafoelenco"/>
        <w:numPr>
          <w:ilvl w:val="0"/>
          <w:numId w:val="2"/>
        </w:numPr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raggiunta la fascia di </w:t>
      </w:r>
      <w:r>
        <w:rPr>
          <w:rFonts w:ascii="Futura Md BT" w:hAnsi="Futura Md BT"/>
          <w:b/>
          <w:bCs/>
          <w:i/>
          <w:iCs/>
          <w:sz w:val="24"/>
          <w:szCs w:val="24"/>
        </w:rPr>
        <w:t>leadership</w:t>
      </w:r>
      <w:r>
        <w:rPr>
          <w:rFonts w:ascii="Futura Md BT" w:hAnsi="Futura Md BT"/>
          <w:b/>
          <w:bCs/>
          <w:sz w:val="24"/>
          <w:szCs w:val="24"/>
        </w:rPr>
        <w:t xml:space="preserve">, con il punteggio “A-”, del </w:t>
      </w:r>
      <w:r>
        <w:rPr>
          <w:rFonts w:ascii="Futura Md BT" w:hAnsi="Futura Md BT"/>
          <w:b/>
          <w:bCs/>
          <w:i/>
          <w:iCs/>
          <w:sz w:val="24"/>
          <w:szCs w:val="24"/>
        </w:rPr>
        <w:t>rating</w:t>
      </w:r>
      <w:r>
        <w:rPr>
          <w:rFonts w:ascii="Futura Md BT" w:hAnsi="Futura Md BT"/>
          <w:b/>
          <w:bCs/>
          <w:sz w:val="24"/>
          <w:szCs w:val="24"/>
        </w:rPr>
        <w:t xml:space="preserve"> di sostenibilità emesso da </w:t>
      </w:r>
      <w:r>
        <w:rPr>
          <w:rFonts w:ascii="Futura Md BT" w:hAnsi="Futura Md BT"/>
          <w:b/>
          <w:bCs/>
          <w:i/>
          <w:iCs/>
          <w:sz w:val="24"/>
          <w:szCs w:val="24"/>
        </w:rPr>
        <w:t>Carbon Disclosure Project</w:t>
      </w:r>
    </w:p>
    <w:p w:rsidR="00B01BF8" w:rsidRDefault="00B01BF8" w:rsidP="00B01BF8">
      <w:pPr>
        <w:pStyle w:val="Paragrafoelenco"/>
        <w:numPr>
          <w:ilvl w:val="0"/>
          <w:numId w:val="2"/>
        </w:numPr>
        <w:spacing w:after="0" w:line="240" w:lineRule="auto"/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990 milioni di Euro nel 2020 di nuova finanza ESG ad affiancare 2,3 miliardi di euro cumulati in </w:t>
      </w:r>
      <w:r>
        <w:rPr>
          <w:rFonts w:ascii="Futura Md BT" w:hAnsi="Futura Md BT"/>
          <w:b/>
          <w:bCs/>
          <w:i/>
          <w:iCs/>
          <w:sz w:val="24"/>
          <w:szCs w:val="24"/>
        </w:rPr>
        <w:t>Green Bond</w:t>
      </w:r>
      <w:r>
        <w:rPr>
          <w:rFonts w:ascii="Futura Md BT" w:hAnsi="Futura Md BT"/>
          <w:b/>
          <w:bCs/>
          <w:sz w:val="24"/>
          <w:szCs w:val="24"/>
        </w:rPr>
        <w:t xml:space="preserve"> emessi fino ad oggi, utilizzati per finanziare l’acquisto di mezzi ad alta efficienza energetica e tassi di riciclo</w:t>
      </w:r>
    </w:p>
    <w:p w:rsidR="00B01BF8" w:rsidRDefault="00B01BF8" w:rsidP="00B01BF8">
      <w:pPr>
        <w:pStyle w:val="Paragrafoelenco"/>
        <w:numPr>
          <w:ilvl w:val="0"/>
          <w:numId w:val="2"/>
        </w:numPr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>oltre il 95% di rifiuti speciali inviati a recupero</w:t>
      </w:r>
    </w:p>
    <w:p w:rsidR="00B01BF8" w:rsidRDefault="00B01BF8" w:rsidP="00B01BF8">
      <w:pPr>
        <w:pStyle w:val="Paragrafoelenco"/>
        <w:numPr>
          <w:ilvl w:val="0"/>
          <w:numId w:val="2"/>
        </w:numPr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lastRenderedPageBreak/>
        <w:t xml:space="preserve">quasi 600 fornitori valutati per le proprie </w:t>
      </w:r>
      <w:r>
        <w:rPr>
          <w:rFonts w:ascii="Futura Md BT" w:hAnsi="Futura Md BT"/>
          <w:b/>
          <w:bCs/>
          <w:i/>
          <w:iCs/>
          <w:sz w:val="24"/>
          <w:szCs w:val="24"/>
        </w:rPr>
        <w:t xml:space="preserve">performance </w:t>
      </w:r>
      <w:r>
        <w:rPr>
          <w:rFonts w:ascii="Futura Md BT" w:hAnsi="Futura Md BT"/>
          <w:b/>
          <w:bCs/>
          <w:sz w:val="24"/>
          <w:szCs w:val="24"/>
        </w:rPr>
        <w:t>ambientali e sociali;</w:t>
      </w:r>
    </w:p>
    <w:p w:rsidR="00B01BF8" w:rsidRDefault="00B01BF8" w:rsidP="00B01B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utura Md BT" w:hAnsi="Futura Md BT"/>
          <w:b/>
          <w:bCs/>
          <w:sz w:val="24"/>
          <w:szCs w:val="24"/>
        </w:rPr>
      </w:pPr>
      <w:r>
        <w:rPr>
          <w:rFonts w:ascii="Futura Md BT" w:hAnsi="Futura Md BT"/>
          <w:b/>
          <w:bCs/>
          <w:sz w:val="24"/>
          <w:szCs w:val="24"/>
        </w:rPr>
        <w:t xml:space="preserve">impegno costante verso gli SDGs con </w:t>
      </w:r>
      <w:r>
        <w:rPr>
          <w:rFonts w:ascii="Futura Md BT" w:hAnsi="Futura Md BT"/>
          <w:b/>
          <w:bCs/>
          <w:i/>
          <w:iCs/>
          <w:sz w:val="24"/>
          <w:szCs w:val="24"/>
        </w:rPr>
        <w:t xml:space="preserve">focus </w:t>
      </w:r>
      <w:r>
        <w:rPr>
          <w:rFonts w:ascii="Futura Md BT" w:hAnsi="Futura Md BT"/>
          <w:b/>
          <w:bCs/>
          <w:sz w:val="24"/>
          <w:szCs w:val="24"/>
        </w:rPr>
        <w:t>su salute e benessere, crescita economica duratura, inclusiva e sostenibile, occupazione, resilienza delle infrastrutture, promozione dell’innovazione, sostenibilità dei modelli di produzione e consumo</w:t>
      </w:r>
    </w:p>
    <w:p w:rsidR="000A0249" w:rsidRDefault="000A0249">
      <w:bookmarkStart w:id="0" w:name="_GoBack"/>
      <w:bookmarkEnd w:id="0"/>
    </w:p>
    <w:sectPr w:rsidR="000A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5DE6"/>
    <w:multiLevelType w:val="hybridMultilevel"/>
    <w:tmpl w:val="157CA8B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F7C368A"/>
    <w:multiLevelType w:val="hybridMultilevel"/>
    <w:tmpl w:val="FE465B8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8"/>
    <w:rsid w:val="000A0249"/>
    <w:rsid w:val="00B0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11EF5-0544-41A9-AE42-7EF3871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0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01BF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1</cp:revision>
  <dcterms:created xsi:type="dcterms:W3CDTF">2021-04-01T06:30:00Z</dcterms:created>
  <dcterms:modified xsi:type="dcterms:W3CDTF">2021-04-01T06:31:00Z</dcterms:modified>
</cp:coreProperties>
</file>