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42ADF5" w14:textId="01C36381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>
        <w:rPr>
          <w:rFonts w:ascii="Arial" w:eastAsia="Aptos" w:hAnsi="Arial" w:cs="Arial"/>
          <w:kern w:val="2"/>
          <w:sz w:val="20"/>
          <w:szCs w:val="20"/>
          <w14:ligatures w14:val="standardContextual"/>
        </w:rPr>
        <w:t>P</w:t>
      </w: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>rogramma delle aperture al pubblico:</w:t>
      </w:r>
    </w:p>
    <w:p w14:paraId="12186FEA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</w:p>
    <w:p w14:paraId="4E8A2AAA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>Venerdì 16 ottobre</w:t>
      </w:r>
    </w:p>
    <w:p w14:paraId="2593A09D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</w:p>
    <w:p w14:paraId="2B856D3F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•</w:t>
      </w: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Ore 17:00: inaugurazione ufficiale.</w:t>
      </w:r>
    </w:p>
    <w:p w14:paraId="38BCC4EE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•</w:t>
      </w: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Dalle 17:00 alle 19:00: apertura al pubblico dei locali della mostra.</w:t>
      </w:r>
    </w:p>
    <w:p w14:paraId="3CDBBD65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</w:p>
    <w:p w14:paraId="54FDAAD9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>Sabato 17 ottobre</w:t>
      </w:r>
    </w:p>
    <w:p w14:paraId="22903AE6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</w:p>
    <w:p w14:paraId="12304AE5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•</w:t>
      </w: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Dalle 9:00 alle 19:00: apertura al pubblico della mostra e della mostra scambio.</w:t>
      </w:r>
    </w:p>
    <w:p w14:paraId="61B5F5A7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</w:p>
    <w:p w14:paraId="1C9DE5EE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>Domenica 18 ottobre</w:t>
      </w:r>
    </w:p>
    <w:p w14:paraId="708AA244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0"/>
          <w:szCs w:val="20"/>
          <w14:ligatures w14:val="standardContextual"/>
        </w:rPr>
      </w:pPr>
    </w:p>
    <w:p w14:paraId="117FFD7F" w14:textId="77777777" w:rsidR="00DE2CA8" w:rsidRPr="00DE2CA8" w:rsidRDefault="00DE2CA8" w:rsidP="00DE2CA8">
      <w:pPr>
        <w:jc w:val="both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•</w:t>
      </w:r>
      <w:r w:rsidRPr="00DE2CA8">
        <w:rPr>
          <w:rFonts w:ascii="Arial" w:eastAsia="Aptos" w:hAnsi="Arial" w:cs="Arial"/>
          <w:kern w:val="2"/>
          <w:sz w:val="20"/>
          <w:szCs w:val="20"/>
          <w14:ligatures w14:val="standardContextual"/>
        </w:rPr>
        <w:tab/>
        <w:t>Dalle 9:00 alle 16:00: ape</w:t>
      </w:r>
      <w:r w:rsidRPr="00DE2CA8">
        <w:rPr>
          <w:rFonts w:ascii="Arial" w:eastAsia="Aptos" w:hAnsi="Arial" w:cs="Arial"/>
          <w:kern w:val="2"/>
          <w:sz w:val="24"/>
          <w:szCs w:val="24"/>
          <w14:ligatures w14:val="standardContextual"/>
        </w:rPr>
        <w:t>rtura al pubblico dei locali espositivi.</w:t>
      </w:r>
    </w:p>
    <w:p w14:paraId="751BCD54" w14:textId="77777777" w:rsidR="00A524D8" w:rsidRDefault="00A524D8"/>
    <w:sectPr w:rsidR="00A524D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A8"/>
    <w:rsid w:val="00A524D8"/>
    <w:rsid w:val="00DE2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D9863"/>
  <w15:chartTrackingRefBased/>
  <w15:docId w15:val="{15E539C4-1612-4A88-B74D-6BD6F91E9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Tonia Ferraro</dc:creator>
  <cp:keywords/>
  <dc:description/>
  <cp:lastModifiedBy>Tonia Ferraro</cp:lastModifiedBy>
  <cp:revision>1</cp:revision>
  <dcterms:created xsi:type="dcterms:W3CDTF">2026-10-14T17:57:00Z</dcterms:created>
  <dcterms:modified xsi:type="dcterms:W3CDTF">2026-10-14T17:58:00Z</dcterms:modified>
</cp:coreProperties>
</file>